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12D6" w14:textId="01223F85" w:rsidR="000F5279" w:rsidRPr="004E4FAA" w:rsidRDefault="000F5279" w:rsidP="004E4FAA">
      <w:pPr>
        <w:pStyle w:val="Bijlagetitel"/>
        <w:spacing w:after="0"/>
        <w:rPr>
          <w:sz w:val="18"/>
          <w:szCs w:val="18"/>
        </w:rPr>
      </w:pPr>
      <w:r w:rsidRPr="004E4FAA">
        <w:rPr>
          <w:sz w:val="18"/>
          <w:szCs w:val="18"/>
        </w:rPr>
        <w:t>BIJLAGE 1: Algemene voorwaarden sd worx staffing solutions</w:t>
      </w:r>
    </w:p>
    <w:p w14:paraId="62904889" w14:textId="77777777" w:rsidR="000F5279" w:rsidRPr="004E4FAA" w:rsidRDefault="000F5279" w:rsidP="004E4FAA">
      <w:pPr>
        <w:spacing w:after="0"/>
        <w:jc w:val="both"/>
        <w:rPr>
          <w:rFonts w:eastAsia="Times New Roman" w:cs="Arial"/>
          <w:b/>
          <w:sz w:val="18"/>
          <w:szCs w:val="18"/>
          <w:u w:val="single"/>
          <w:lang w:eastAsia="nl-NL"/>
        </w:rPr>
      </w:pPr>
      <w:r w:rsidRPr="004E4FAA">
        <w:rPr>
          <w:rFonts w:eastAsia="Times New Roman" w:cs="Arial"/>
          <w:b/>
          <w:sz w:val="18"/>
          <w:szCs w:val="18"/>
          <w:u w:val="single"/>
          <w:lang w:eastAsia="nl-NL"/>
        </w:rPr>
        <w:t>SD Worx Staffing Solutions - algemene voorwaarden voor de levering van diensten</w:t>
      </w:r>
    </w:p>
    <w:p w14:paraId="10003EF6" w14:textId="77777777" w:rsidR="000F5279" w:rsidRPr="004E4FAA" w:rsidRDefault="000F5279" w:rsidP="004E4FAA">
      <w:pPr>
        <w:spacing w:after="0"/>
        <w:jc w:val="both"/>
        <w:rPr>
          <w:rFonts w:eastAsia="Times New Roman" w:cs="Arial"/>
          <w:b/>
          <w:sz w:val="18"/>
          <w:szCs w:val="18"/>
          <w:lang w:eastAsia="nl-NL"/>
        </w:rPr>
      </w:pPr>
      <w:r w:rsidRPr="004E4FAA">
        <w:rPr>
          <w:rFonts w:eastAsia="Times New Roman" w:cs="Arial"/>
          <w:b/>
          <w:sz w:val="18"/>
          <w:szCs w:val="18"/>
          <w:lang w:eastAsia="nl-NL"/>
        </w:rPr>
        <w:t>Deze bepalingen maken integraal deel uit van de overeenkomst tussen SD Worx Staffing Solutions nv en de gebruiker van wie de naam op de voorzijde van de samenwerkingsovereenkomst wordt vermeld.</w:t>
      </w:r>
    </w:p>
    <w:p w14:paraId="5865640D" w14:textId="185BCDDC"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1. Elke terbeschikkingstelling van uitzendkrachten door SD Worx Staffing Solutions geschiedt uitsluitend onder de voorwaarden die bij de aanvraag schriftelijk en uitdrukkelijk worden overeengekomen en onder de hierna bepaalde algemene voorwaarden, die integraal deel uitmaken van de overeenkomst tussen de gebruiker en SD Worx Staffing Solutions en die zijn opgesteld overeenkomstig de wet van 24 juli 1987 betreffende de tijdelijke arbeid, de uitzendarbeid en het ter beschikking stellen van werknemers ten behoeve van gebruikers (hierna de “wet van 24 juli 1987”).</w:t>
      </w:r>
      <w:r w:rsidR="00F96F7D">
        <w:rPr>
          <w:rFonts w:eastAsia="Times New Roman" w:cs="Arial"/>
          <w:sz w:val="18"/>
          <w:szCs w:val="18"/>
          <w:lang w:eastAsia="nl-NL"/>
        </w:rPr>
        <w:t xml:space="preserve"> </w:t>
      </w:r>
      <w:r w:rsidRPr="004E4FAA">
        <w:rPr>
          <w:rFonts w:eastAsia="Times New Roman" w:cs="Arial"/>
          <w:sz w:val="18"/>
          <w:szCs w:val="18"/>
          <w:lang w:eastAsia="nl-NL"/>
        </w:rPr>
        <w:t xml:space="preserve">Elke afwijking van deze algemene voorwaarden dient schriftelijk en uitdrukkelijk te worden overeengekomen. </w:t>
      </w:r>
    </w:p>
    <w:p w14:paraId="44BC37F0"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2. Deze algemene voorwaarden gelden eveneens zodra de gebruiker een aanvraag/vacature toevertrouwt aan SD Worx Staffing Solutions en SD Worx Staffing Solutions kandidaten voorstelt aan de gebruiker.</w:t>
      </w:r>
    </w:p>
    <w:p w14:paraId="03BADDA4"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3. Eventuele aankoop- of andere voorwaarden van de gebruiker zijn niet van toepassing en worden door SD Worx Staffing Solutions uitdrukkelijk van de hand gewezen. </w:t>
      </w:r>
    </w:p>
    <w:p w14:paraId="32D57BD3" w14:textId="7BE558F9" w:rsidR="000F5279" w:rsidRPr="004E4FAA" w:rsidRDefault="7C40A21B" w:rsidP="004E4FAA">
      <w:pPr>
        <w:spacing w:after="0"/>
        <w:jc w:val="both"/>
        <w:rPr>
          <w:rFonts w:eastAsia="Times New Roman" w:cs="Arial"/>
          <w:sz w:val="18"/>
          <w:szCs w:val="22"/>
          <w:lang w:eastAsia="nl-NL"/>
        </w:rPr>
      </w:pPr>
      <w:r w:rsidRPr="004E4FAA">
        <w:rPr>
          <w:rFonts w:eastAsia="Times New Roman" w:cs="Arial"/>
          <w:sz w:val="18"/>
          <w:szCs w:val="22"/>
          <w:lang w:eastAsia="nl-NL"/>
        </w:rPr>
        <w:t>4. Overeenkomstig de CAO nr. 38 mag SD Worx Staffing Solutions de kandidaten niet op discriminatoire wijze behandelen. Bijgevolg mag de gebruiker in zijn aanvraag alleen functierelevante criteria formuleren.</w:t>
      </w:r>
    </w:p>
    <w:p w14:paraId="42FC1DAD" w14:textId="778B966F" w:rsidR="000F5279" w:rsidRPr="004E4FAA" w:rsidRDefault="7C40A21B" w:rsidP="004E4FAA">
      <w:pPr>
        <w:spacing w:after="0"/>
        <w:jc w:val="both"/>
        <w:rPr>
          <w:rFonts w:eastAsia="Times New Roman" w:cs="Arial"/>
          <w:sz w:val="18"/>
          <w:szCs w:val="22"/>
          <w:lang w:eastAsia="nl-NL"/>
        </w:rPr>
      </w:pPr>
      <w:r w:rsidRPr="004E4FAA">
        <w:rPr>
          <w:rFonts w:eastAsia="Times New Roman" w:cs="Arial"/>
          <w:sz w:val="18"/>
          <w:szCs w:val="22"/>
          <w:lang w:eastAsia="nl-NL"/>
        </w:rPr>
        <w:t>5.  De gebruiker verbindt er zich toe bij aanvang en tijdens de duur van de overeenkomst alle noodzakelijke en functierelevante informatie en bovendien elke wijziging onverwijld en schriftelijk mee te delen aan SD Worx Staffing Solutions.</w:t>
      </w:r>
    </w:p>
    <w:p w14:paraId="5D0B4F63"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Dat houdt in dat de gebruiker onder meer de volgende gegevens aan SD Worx Staffing Solutions meedeelt:</w:t>
      </w:r>
    </w:p>
    <w:p w14:paraId="15F16521"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de motieven om een beroep te doen op uitzendarbeid en het al dan niet aanwezig zijn van een vakbondsvertegenwoordiging;</w:t>
      </w:r>
    </w:p>
    <w:p w14:paraId="68C1667F"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de loonvoorwaarden van het vast personeel, met inbegrip van premies en diverse voordelen die gebruikelijk zijn in de onderneming van de gebruiker, evenals de toekenningsvoorwaarden;</w:t>
      </w:r>
    </w:p>
    <w:p w14:paraId="5E86093A" w14:textId="36FA1A7D"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 de werktijden, pauzes, arbeidsduur, de werkzaamheden, de plaats van </w:t>
      </w:r>
      <w:r w:rsidR="006E5988" w:rsidRPr="004E4FAA">
        <w:rPr>
          <w:rFonts w:eastAsia="Times New Roman" w:cs="Arial"/>
          <w:sz w:val="18"/>
          <w:szCs w:val="18"/>
          <w:lang w:eastAsia="nl-NL"/>
        </w:rPr>
        <w:t>tewerkstelling,</w:t>
      </w:r>
      <w:r w:rsidRPr="004E4FAA">
        <w:rPr>
          <w:rFonts w:eastAsia="Times New Roman" w:cs="Arial"/>
          <w:sz w:val="18"/>
          <w:szCs w:val="18"/>
          <w:lang w:eastAsia="nl-NL"/>
        </w:rPr>
        <w:t xml:space="preserve"> de beoogde looptijd van de opdracht, en eventuele werkpostfiche, de vereiste beroepskwalificatie, het resultaat van de risico-evaluaties, het medisch toezicht en de persoonlijke beschermingsmiddelen;</w:t>
      </w:r>
    </w:p>
    <w:p w14:paraId="571CCFE9"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mogelijke situaties van staking of lock-out of andere vormen van tijdelijke werkloosheid;</w:t>
      </w:r>
    </w:p>
    <w:p w14:paraId="0760EF52"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een eventueel arbeidsongeval;</w:t>
      </w:r>
    </w:p>
    <w:p w14:paraId="2CC9CFD1"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elke wijziging in aanvang, duurtijd en einde van de lopende arbeidsovereenkomst voor uitzendarbeid die een invloed heeft op de door SD Worx Staffing Solutions uit te voeren Dimona-melding;</w:t>
      </w:r>
    </w:p>
    <w:p w14:paraId="55365326"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de laattijdige aanwezigheid of de afwezigheid van de uitzendkrachten;</w:t>
      </w:r>
    </w:p>
    <w:p w14:paraId="2020CAEC"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de niet-hernieuwing van een opdracht.</w:t>
      </w:r>
    </w:p>
    <w:p w14:paraId="28F62285" w14:textId="668B8854"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SD Worx Staffing Solutions voorziet enkel in de mogelijkheid om uitzendkrachten te detacheren naar Frankrijk, Nederland of Duitsland. </w:t>
      </w:r>
      <w:r w:rsidR="00F96F7D">
        <w:rPr>
          <w:rFonts w:eastAsia="Times New Roman" w:cs="Arial"/>
          <w:sz w:val="18"/>
          <w:szCs w:val="18"/>
          <w:lang w:eastAsia="nl-NL"/>
        </w:rPr>
        <w:t xml:space="preserve"> </w:t>
      </w:r>
      <w:r w:rsidR="00CE3E38" w:rsidRPr="004E4FAA">
        <w:rPr>
          <w:rFonts w:eastAsia="Times New Roman" w:cs="Arial"/>
          <w:sz w:val="18"/>
          <w:szCs w:val="18"/>
          <w:lang w:eastAsia="nl-NL"/>
        </w:rPr>
        <w:t>Als</w:t>
      </w:r>
      <w:r w:rsidRPr="004E4FAA">
        <w:rPr>
          <w:rFonts w:eastAsia="Times New Roman" w:cs="Arial"/>
          <w:sz w:val="18"/>
          <w:szCs w:val="18"/>
          <w:lang w:eastAsia="nl-NL"/>
        </w:rPr>
        <w:t xml:space="preserve"> de Gebruiker de uitzendkracht prestaties wil laten verrichten in Frankrijk, Nederland of Duitsland, dient de Gebruiker voorafgaandelijk aan de detachering van de uitzendkracht SD Worx Staffing Solutions hiervan schriftelijk op de hoogte te brengen. SD Worx Staffing Solutions dient hier voorafgaandelijk haar uitdrukkelijk akkoord voor te geven. De Gebruiker vrijwaart SD Worx Staffing Solutions voor alle gevolgen die voortvloeien uit het niet naleven van deze verplichting.</w:t>
      </w:r>
      <w:r w:rsidR="00F96F7D">
        <w:rPr>
          <w:rFonts w:eastAsia="Times New Roman" w:cs="Arial"/>
          <w:sz w:val="18"/>
          <w:szCs w:val="18"/>
          <w:lang w:eastAsia="nl-NL"/>
        </w:rPr>
        <w:t xml:space="preserve"> </w:t>
      </w:r>
      <w:r w:rsidRPr="004E4FAA">
        <w:rPr>
          <w:rFonts w:eastAsia="Times New Roman" w:cs="Arial"/>
          <w:sz w:val="18"/>
          <w:szCs w:val="18"/>
          <w:lang w:eastAsia="nl-NL"/>
        </w:rPr>
        <w:t>De gebruiker is als enige aansprakelijk voor de gevolgen die voortvloeien uit het niet, niet tijdig, onvoldoende of foutief doorgeven</w:t>
      </w:r>
      <w:r>
        <w:rPr>
          <w:rFonts w:eastAsia="Times New Roman" w:cs="Arial"/>
          <w:sz w:val="18"/>
          <w:szCs w:val="18"/>
          <w:lang w:eastAsia="nl-NL"/>
        </w:rPr>
        <w:t xml:space="preserve"> </w:t>
      </w:r>
      <w:r w:rsidRPr="004E4FAA">
        <w:rPr>
          <w:rFonts w:eastAsia="Times New Roman" w:cs="Arial"/>
          <w:sz w:val="18"/>
          <w:szCs w:val="18"/>
          <w:lang w:eastAsia="nl-NL"/>
        </w:rPr>
        <w:t>van deze informatie. Alle rechtzettingen en/of kosten die daardoor veroorzaakt worden, geven aanleiding tot bijkomende facturatie aan de gebruiker. De gebruiker zal daarbij SD Worx Staffing Solutions vrijwaren voor enige vordering van derden.</w:t>
      </w:r>
    </w:p>
    <w:p w14:paraId="05971DF7"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De gebruiker engageert zich eveneens tot het verstrekken van alle relevante en nodige informatie aan SD Worx Staffing Solutions opdat SD Worx Staffing Solutions de rapportage- en informatieplichten in het kader van de Corporate Sustainability Reporting Directive (CSRD) correct kan naleven.</w:t>
      </w:r>
    </w:p>
    <w:p w14:paraId="11653173" w14:textId="716AEA6E" w:rsidR="000F5279" w:rsidRPr="004E4FAA" w:rsidRDefault="000F5279" w:rsidP="004E4FAA">
      <w:pPr>
        <w:spacing w:after="0"/>
        <w:jc w:val="both"/>
        <w:rPr>
          <w:sz w:val="22"/>
          <w:szCs w:val="22"/>
          <w:lang w:eastAsia="nl-BE"/>
        </w:rPr>
      </w:pPr>
      <w:r w:rsidRPr="004E4FAA">
        <w:rPr>
          <w:rFonts w:eastAsia="Times New Roman" w:cs="Arial"/>
          <w:sz w:val="18"/>
          <w:szCs w:val="18"/>
          <w:lang w:eastAsia="nl-NL"/>
        </w:rPr>
        <w:t xml:space="preserve">6.  De gebruiker draagt de aansprakelijkheid voor de correcte toepassing van motieven en termijnen voor uitzendarbeid. In het kader van die motieven zorgt hij, in de door de wet bepaalde gevallen, voor de nodige toestemmingen en mededelingen in verband met het ter beschikking stellen van uitzendkrachten. In het kader van opéénvolgende dagcontracten garandeert de gebruiker dat dit verantwoord wordt </w:t>
      </w:r>
      <w:r w:rsidR="00CE3E38" w:rsidRPr="004E4FAA">
        <w:rPr>
          <w:rFonts w:eastAsia="Times New Roman" w:cs="Arial"/>
          <w:sz w:val="18"/>
          <w:szCs w:val="18"/>
          <w:lang w:eastAsia="nl-NL"/>
        </w:rPr>
        <w:t>door</w:t>
      </w:r>
      <w:r w:rsidRPr="004E4FAA">
        <w:rPr>
          <w:rFonts w:eastAsia="Times New Roman" w:cs="Arial"/>
          <w:sz w:val="18"/>
          <w:szCs w:val="18"/>
          <w:lang w:eastAsia="nl-NL"/>
        </w:rPr>
        <w:t xml:space="preserve"> de nood aan flexibiliteit eigen aan zijn onderneming. De wettelijke sancties die desgevallend bij gebreke aan verantwoording ten laste van SD Worx Staffing Solutions worden gelegd, zullen aan de gebruiker doorgerekend worden aan dezelfde facturatievoorwaarden als deze die van kracht waren tijdens de terbeschikkingstelling.</w:t>
      </w:r>
      <w:r w:rsidRPr="004E4FAA">
        <w:rPr>
          <w:sz w:val="22"/>
          <w:szCs w:val="22"/>
          <w:lang w:eastAsia="nl-BE"/>
        </w:rPr>
        <w:t xml:space="preserve"> </w:t>
      </w:r>
    </w:p>
    <w:p w14:paraId="7226BC66" w14:textId="6421C2D1" w:rsidR="000F5279" w:rsidRPr="004E4FAA" w:rsidRDefault="000F5279" w:rsidP="004E4FAA">
      <w:pPr>
        <w:spacing w:after="0"/>
        <w:jc w:val="both"/>
        <w:rPr>
          <w:rFonts w:cs="Arial"/>
          <w:sz w:val="18"/>
          <w:szCs w:val="18"/>
          <w:lang w:eastAsia="nl-BE"/>
        </w:rPr>
      </w:pPr>
      <w:r w:rsidRPr="004E4FAA">
        <w:rPr>
          <w:rFonts w:cs="Arial"/>
          <w:sz w:val="18"/>
          <w:szCs w:val="18"/>
          <w:lang w:eastAsia="nl-BE"/>
        </w:rPr>
        <w:lastRenderedPageBreak/>
        <w:t xml:space="preserve">Bij de aanvraag van een uitzendkracht voor een flexi-job, is het de verantwoordelijkheid van de Gebruiker om na te gaan of aan alle voorwaarden van de flexi-job wetgeving is voldaan (o.a. toegelaten sector, hoofd NACE-code, functie, maximumloon, verbod tewerkstelling in eigen of verbonden onderneming, …). </w:t>
      </w:r>
      <w:r w:rsidR="00CE3E38" w:rsidRPr="004E4FAA">
        <w:rPr>
          <w:rFonts w:cs="Arial"/>
          <w:sz w:val="18"/>
          <w:szCs w:val="18"/>
          <w:lang w:eastAsia="nl-BE"/>
        </w:rPr>
        <w:t>Als</w:t>
      </w:r>
      <w:r w:rsidRPr="004E4FAA">
        <w:rPr>
          <w:rFonts w:cs="Arial"/>
          <w:sz w:val="18"/>
          <w:szCs w:val="18"/>
          <w:lang w:eastAsia="nl-BE"/>
        </w:rPr>
        <w:t xml:space="preserve"> het statuut van flexi-job naderhand, om welke reden dan ook, niet toegelaten blijkt te zijn, zal SD Worx Staffing Solutions de prestaties van de betrokken uitzendkracht rechtzetten naar een reguliere tewerkstelling en zal zij deze prestaties aan de Gebruiker factureren aan de gewone coëfficiënten van toepassing op de functie. Tijdens de tewerkstelling van een uitzendkracht in een flexi-job moet de Gebruiker elke aanpassing aan de afgesproken werktijden tijdig doorgeven zodat SD Worx Staffing Solutions de overeenkomstige wijziging aan de Dimona kan uitvoeren binnen de wettelijk opgelegde termijn. Bij gebrek daaraan is SD Worx Staffing Solutions minimaal de contractuele uren verschuldigd en zullen deze aan de Gebruiker worden gefactureerd.</w:t>
      </w:r>
    </w:p>
    <w:p w14:paraId="53169B07"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7.  SD Worx Staffing Solutions is in geen geval aansprakelijk voor de gevolgen van de afwezigheid en/of de laattijdige aanwezigheid van zijn uitzendkrachten.</w:t>
      </w:r>
    </w:p>
    <w:p w14:paraId="102D5147" w14:textId="4E76EA8F" w:rsidR="000F5279" w:rsidRPr="00F96F7D"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8.  De gebruiker kan geen beroep doen op de diensten van SD Worx Staffing Solutions in geval van tijdelijke werkloosheid, staking of lock-out in zijn onderneming. In voorkomende gevallen moet de    gebruiker SD Worx Staffing Solutions hiervan onmiddellijk en schriftelijk op de hoogte brengen. Het verplicht terugtrekken van de uitzendkrachten in deze gevallen geeft geen aanleiding tot het betalen van een schadevergoeding door SD Worx Staffing Solutions aan de gebruiker.</w:t>
      </w:r>
      <w:r w:rsidR="00F96F7D">
        <w:rPr>
          <w:rFonts w:eastAsia="Times New Roman" w:cs="Arial"/>
          <w:sz w:val="18"/>
          <w:szCs w:val="18"/>
          <w:lang w:eastAsia="nl-NL"/>
        </w:rPr>
        <w:t xml:space="preserve"> </w:t>
      </w:r>
      <w:r w:rsidR="72D60DDC" w:rsidRPr="004E4FAA">
        <w:rPr>
          <w:rFonts w:eastAsia="Times New Roman" w:cs="Arial"/>
          <w:sz w:val="18"/>
          <w:szCs w:val="22"/>
          <w:lang w:eastAsia="nl-NL"/>
        </w:rPr>
        <w:t>Als</w:t>
      </w:r>
      <w:r w:rsidR="7C40A21B" w:rsidRPr="004E4FAA">
        <w:rPr>
          <w:rFonts w:eastAsia="Times New Roman" w:cs="Arial"/>
          <w:sz w:val="18"/>
          <w:szCs w:val="22"/>
          <w:lang w:eastAsia="nl-NL"/>
        </w:rPr>
        <w:t xml:space="preserve"> de Gebruiker tijdelijke werkloosheid wil invoeren voor uitzendkrachten, dient de Gebruiker SD Worx Staffing Solutions tijdig op de hoogte te brengen zodat SD Worx Staffing Solutions haar wettelijke verplichtingen kan vervullen. Bij gebrek aan een tijdige verwittiging, zullen de uitzendkrachten geen gebruik kunnen maken van tijdelijke werkloosheid en zal de Gebruiker het loon tegen de afgesproken coëfficiënt dienen te betalen aan SD Worx Staffing Solutions. </w:t>
      </w:r>
      <w:r w:rsidR="72D60DDC" w:rsidRPr="004E4FAA">
        <w:rPr>
          <w:rFonts w:eastAsia="Times New Roman" w:cs="Arial"/>
          <w:sz w:val="18"/>
          <w:szCs w:val="22"/>
          <w:lang w:eastAsia="nl-NL"/>
        </w:rPr>
        <w:t>Als</w:t>
      </w:r>
      <w:r w:rsidR="7C40A21B" w:rsidRPr="004E4FAA">
        <w:rPr>
          <w:rFonts w:eastAsia="Times New Roman" w:cs="Arial"/>
          <w:sz w:val="18"/>
          <w:szCs w:val="22"/>
          <w:lang w:eastAsia="nl-NL"/>
        </w:rPr>
        <w:t xml:space="preserve"> de tijdelijke werkloosheid geweigerd wordt, zullen alle kosten gefactureerd worden aan de Gebruiker.</w:t>
      </w:r>
    </w:p>
    <w:p w14:paraId="03727EFF" w14:textId="1766890D"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9.  Tijdens de duur van de terbeschikkingstelling van de uitzendkracht bij de gebruiker draagt de gebruiker, overeenkomstig artikel 19 van de wet van 24 juli 1987, zorg voor de toepassing van de bepalingen van de wet </w:t>
      </w:r>
      <w:r w:rsidR="00CE3E38" w:rsidRPr="004E4FAA">
        <w:rPr>
          <w:rFonts w:eastAsia="Times New Roman" w:cs="Arial"/>
          <w:sz w:val="18"/>
          <w:szCs w:val="18"/>
          <w:lang w:eastAsia="nl-NL"/>
        </w:rPr>
        <w:t>over</w:t>
      </w:r>
      <w:r w:rsidRPr="004E4FAA">
        <w:rPr>
          <w:rFonts w:eastAsia="Times New Roman" w:cs="Arial"/>
          <w:sz w:val="18"/>
          <w:szCs w:val="18"/>
          <w:lang w:eastAsia="nl-NL"/>
        </w:rPr>
        <w:t xml:space="preserve"> reglementering en bescherming van de arbeid die op de plaats van terbeschikkingstelling gelden. Hieruit volgt dat de gebruiker de uitzendkrachten op gelijke voet moet behandelen als zijn vast personeel, onder meer wat betreft arbeidstijd, arbeidsduurvermindering, compensaties, pauzes, feestdagen, zondagswerk, nachtarbeid, welzijn van de uitzendkracht op het werk, enz. De gebruiker is verantwoordelijk voor het organiseren van alle mogelijke opleidingen gerelateerd aan het werk van de uitzendkracht (vb. zoals met het oog op de veiligheid op de arbeidsplaats).</w:t>
      </w:r>
    </w:p>
    <w:p w14:paraId="7311715D" w14:textId="7F687405"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10.  SD Worx Staffing Solutions is gebonden door een middelenverbintenis en kiest de uitzendkracht naar de normen van een voorzichtig en redelijk persoon, op basis van de door de gebruiker meegedeelde kwalificaties en op basis van de competenties, ervaring en attitude van de uitzendkracht.</w:t>
      </w:r>
      <w:r w:rsidR="00F96F7D">
        <w:rPr>
          <w:rFonts w:eastAsia="Times New Roman" w:cs="Arial"/>
          <w:sz w:val="18"/>
          <w:szCs w:val="18"/>
          <w:lang w:eastAsia="nl-NL"/>
        </w:rPr>
        <w:t xml:space="preserve"> </w:t>
      </w:r>
      <w:r w:rsidRPr="004E4FAA">
        <w:rPr>
          <w:rFonts w:eastAsia="Times New Roman" w:cs="Arial"/>
          <w:sz w:val="18"/>
          <w:szCs w:val="18"/>
          <w:lang w:eastAsia="nl-NL"/>
        </w:rPr>
        <w:t xml:space="preserve">SD Worx Staffing Solutions spant zich in om tijdig een potentieel geschikte kandidaat voor te stellen. SD Worx Staffing Solutions is niet gehouden tot vergoeding van enige schade of kosten aan de Gebruiker, </w:t>
      </w:r>
      <w:r w:rsidR="00CE3E38" w:rsidRPr="004E4FAA">
        <w:rPr>
          <w:rFonts w:eastAsia="Times New Roman" w:cs="Arial"/>
          <w:sz w:val="18"/>
          <w:szCs w:val="18"/>
          <w:lang w:eastAsia="nl-NL"/>
        </w:rPr>
        <w:t>als</w:t>
      </w:r>
      <w:r w:rsidRPr="004E4FAA">
        <w:rPr>
          <w:rFonts w:eastAsia="Times New Roman" w:cs="Arial"/>
          <w:sz w:val="18"/>
          <w:szCs w:val="18"/>
          <w:lang w:eastAsia="nl-NL"/>
        </w:rPr>
        <w:t xml:space="preserve"> SD Worx Staffing Solutions om welke reden dan ook niet of niet tijdig een kandidaat kan voorstellen. SD Worx Staffing Solutions is niet aansprakelijk, indien een door haar voorgestelde kandidaat om welke reden dan ook niet als uitzendkracht ter beschikking kan worden gesteld van de gebruiker of een aangegane uitzendopdracht (voortijdig) beëindigt. De gebruiker kan enkel een voorgestelde kandidaat afwijzen voor zover dit gebeurt om functierelevante of andere gerechtvaardigde redenen.</w:t>
      </w:r>
      <w:r w:rsidR="00F96F7D">
        <w:rPr>
          <w:rFonts w:eastAsia="Times New Roman" w:cs="Arial"/>
          <w:sz w:val="18"/>
          <w:szCs w:val="18"/>
          <w:lang w:eastAsia="nl-NL"/>
        </w:rPr>
        <w:t xml:space="preserve"> </w:t>
      </w:r>
      <w:r w:rsidR="00CE3E38" w:rsidRPr="004E4FAA">
        <w:rPr>
          <w:rFonts w:eastAsia="Times New Roman" w:cs="Arial"/>
          <w:sz w:val="18"/>
          <w:szCs w:val="18"/>
          <w:lang w:eastAsia="nl-NL"/>
        </w:rPr>
        <w:t>Als</w:t>
      </w:r>
      <w:r w:rsidRPr="004E4FAA">
        <w:rPr>
          <w:rFonts w:eastAsia="Times New Roman" w:cs="Arial"/>
          <w:sz w:val="18"/>
          <w:szCs w:val="18"/>
          <w:lang w:eastAsia="nl-NL"/>
        </w:rPr>
        <w:t xml:space="preserve"> de gebruiker zelf de selectie van de kandidaat-uitzendkrachten uitvoert, dan is enkel de gebruiker volledig aansprakelijk voor deze selectie en kan de aansprakelijkheid van SD Worx Staffing Solutions nooit ingeroepen worden. </w:t>
      </w:r>
    </w:p>
    <w:p w14:paraId="7F36E681" w14:textId="5880EFD3" w:rsidR="000F5279" w:rsidRPr="004E4FAA" w:rsidRDefault="00CE3E38" w:rsidP="004E4FAA">
      <w:pPr>
        <w:spacing w:after="0"/>
        <w:jc w:val="both"/>
        <w:rPr>
          <w:rFonts w:eastAsia="Times New Roman" w:cs="Arial"/>
          <w:sz w:val="18"/>
          <w:szCs w:val="18"/>
          <w:lang w:eastAsia="nl-NL"/>
        </w:rPr>
      </w:pPr>
      <w:r w:rsidRPr="004E4FAA">
        <w:rPr>
          <w:rFonts w:eastAsia="Times New Roman" w:cs="Arial"/>
          <w:sz w:val="18"/>
          <w:szCs w:val="18"/>
          <w:lang w:eastAsia="nl-NL"/>
        </w:rPr>
        <w:t>11.</w:t>
      </w:r>
      <w:r w:rsidR="000F5279" w:rsidRPr="004E4FAA">
        <w:rPr>
          <w:rFonts w:eastAsia="Times New Roman" w:cs="Arial"/>
          <w:sz w:val="18"/>
          <w:szCs w:val="18"/>
          <w:lang w:eastAsia="nl-NL"/>
        </w:rPr>
        <w:t xml:space="preserve"> De burgerlijke aansprakelijkheid, bepaald in artikel 1384 alinea 3 van het Oud Burgerlijk Wetboek, berust bij de gebruiker. De gebruiker is bijgevolg als enige aansprakelijk voor alle door de uitzendkracht aan derden berokkende schade. Het opnemen van een ‘clausule uitzendarbeid’ in de verzekering burgerlijke aansprakelijkheid van de gebruiker wordt aanbevolen.</w:t>
      </w:r>
    </w:p>
    <w:p w14:paraId="566120C2" w14:textId="70294C22" w:rsidR="000F5279" w:rsidRPr="00F96F7D"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SD Worx Staffing Solutions is evenmin aansprakelijk voor de schade die de uitzendkracht aan de gebruiker berokkent tijdens en naar aanleiding van zijn terbeschikkingstelling bij de gebruiker. De aansprakelijkheid van SD Worx Staffing Solutions is eveneens niet betrokken in geval van beschadiging, verlies, diefstal of verdwijning van materiaal, geld of goederen die aan de uitzendkracht toevertrouwd worden.</w:t>
      </w:r>
      <w:r w:rsidR="00F96F7D">
        <w:rPr>
          <w:rFonts w:eastAsia="Times New Roman" w:cs="Arial"/>
          <w:sz w:val="18"/>
          <w:szCs w:val="18"/>
          <w:lang w:eastAsia="nl-NL"/>
        </w:rPr>
        <w:t xml:space="preserve"> </w:t>
      </w:r>
      <w:r w:rsidRPr="004E4FAA">
        <w:rPr>
          <w:rFonts w:eastAsia="Times New Roman" w:cs="Arial"/>
          <w:sz w:val="18"/>
          <w:szCs w:val="18"/>
          <w:lang w:eastAsia="nl-NL"/>
        </w:rPr>
        <w:t xml:space="preserve">SD Worx Staffing Solutions is ook niet aansprakelijk voor de leningen of voorschotten die eventueel door de gebruiker aan de uitzendkracht werden toegestaan. Bovendien moet het terugvorderen van kosten die voortvloeien uit onder meer het gebruik van telefoon voor </w:t>
      </w:r>
      <w:r w:rsidR="00CE3E38" w:rsidRPr="004E4FAA">
        <w:rPr>
          <w:rFonts w:eastAsia="Times New Roman" w:cs="Arial"/>
          <w:sz w:val="18"/>
          <w:szCs w:val="18"/>
          <w:lang w:eastAsia="nl-NL"/>
        </w:rPr>
        <w:t>privédoeleinden</w:t>
      </w:r>
      <w:r w:rsidRPr="004E4FAA">
        <w:rPr>
          <w:rFonts w:eastAsia="Times New Roman" w:cs="Arial"/>
          <w:sz w:val="18"/>
          <w:szCs w:val="18"/>
          <w:lang w:eastAsia="nl-NL"/>
        </w:rPr>
        <w:t>, het gebruik van maaltijden in het bedrijfsrestaurant, geoorloofde aankopen, enz. zonder de bemiddeling van SD Worx Staffing Solutions gedaan worden.</w:t>
      </w:r>
      <w:r w:rsidR="00F96F7D">
        <w:rPr>
          <w:rFonts w:eastAsia="Times New Roman" w:cs="Arial"/>
          <w:sz w:val="18"/>
          <w:szCs w:val="18"/>
          <w:lang w:eastAsia="nl-NL"/>
        </w:rPr>
        <w:t xml:space="preserve"> </w:t>
      </w:r>
      <w:r w:rsidRPr="004E4FAA">
        <w:rPr>
          <w:rFonts w:cs="Arial"/>
          <w:sz w:val="18"/>
          <w:szCs w:val="18"/>
        </w:rPr>
        <w:t xml:space="preserve">Partijen stemmen er uitdrukkelijk mee in dat de bepalingen van artikel 6.3 van boek 6 van het Nieuw Burgerlijk Wetboek niet van toepassing zijn op de Overeenkomst </w:t>
      </w:r>
      <w:r w:rsidRPr="004E4FAA">
        <w:rPr>
          <w:rFonts w:eastAsia="Times New Roman" w:cs="Arial"/>
          <w:sz w:val="18"/>
          <w:szCs w:val="18"/>
          <w:lang w:eastAsia="nl-NL"/>
        </w:rPr>
        <w:t>tussen de gebruiker en SD Worx Staffing Solutions</w:t>
      </w:r>
      <w:r w:rsidRPr="004E4FAA">
        <w:rPr>
          <w:rFonts w:cs="Arial"/>
          <w:sz w:val="18"/>
          <w:szCs w:val="18"/>
        </w:rPr>
        <w:t xml:space="preserve">. Daarenboven is geen enkele Partij gerechtigd om enige buitencontractuele aansprakelijkheidsclaim onder artikel 6.3 van het Nieuw Burgerlijk Wetboek in te dienen tegen de andere Partij of een hulppersoon van (een verbonden onderneming van) die andere Partij op basis van deze Overeenkomst. De betrokken hulppersonen zijn derde begunstigden van deze clausule </w:t>
      </w:r>
    </w:p>
    <w:p w14:paraId="67328917"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12.  De uitzendkracht is door middel van een arbeidsovereenkomst verbonden met SD Worx Staffing Solutions en hij blijft dus te allen tijde een loontrekkende van SD Worx Staffing Solutions die onder het gezag en toezicht van de gebruiker ressorteert. Alhoewel de uitzendkracht onderworpen blijft aan de regelingen die de relaties tussen SD Worx Staffing Solutions als werkgever, en de </w:t>
      </w:r>
      <w:r w:rsidRPr="004E4FAA">
        <w:rPr>
          <w:rFonts w:eastAsia="Times New Roman" w:cs="Arial"/>
          <w:sz w:val="18"/>
          <w:szCs w:val="18"/>
          <w:lang w:eastAsia="nl-NL"/>
        </w:rPr>
        <w:lastRenderedPageBreak/>
        <w:t>uitzendkracht als werknemer bepalen, moet de uitzendkracht zich tijdens de uitvoering van de werkzaamheden in het kader van de opdracht die hem werd toevertrouwd, uitsluitend richten naar de richtlijnen van de gebruiker bij wie hij deze opdracht uitvoert.</w:t>
      </w:r>
    </w:p>
    <w:p w14:paraId="6DB7BC2C" w14:textId="0467008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13. Overeenkomstig artikel 10 van de wet van 24 juli 1987 hebben de uitzendkrachten recht op hetzelfde brutoloon, inclusief indexaties en conventionele verhogingen, premies, maaltijdcheques en andere looncomponenten alsof ze door de gebruiker in vaste dienst genomen zouden worden.</w:t>
      </w:r>
      <w:r w:rsidR="00F96F7D">
        <w:rPr>
          <w:rFonts w:eastAsia="Times New Roman" w:cs="Arial"/>
          <w:sz w:val="18"/>
          <w:szCs w:val="18"/>
          <w:lang w:eastAsia="nl-NL"/>
        </w:rPr>
        <w:t xml:space="preserve"> </w:t>
      </w:r>
      <w:r w:rsidRPr="004E4FAA">
        <w:rPr>
          <w:rFonts w:eastAsia="Times New Roman" w:cs="Arial"/>
          <w:sz w:val="18"/>
          <w:szCs w:val="18"/>
          <w:lang w:eastAsia="nl-NL"/>
        </w:rPr>
        <w:t>Op basis van artikel 5 van deze algemene voorwaarden dient de gebruiker deze loongegevens mee te delen aan SD Worx Staffing Solutions. De gebruiker is als enige aansprakelijk voor de gevolgen die voortvloeien uit het niet, niet tijdig, onvolledig of foutief doorgeven van deze informatie. Alle rechtzettingen en/of kosten die daardoor veroorzaakt worden, geven aanleiding tot bijkomende facturatie aan de gebruiker.</w:t>
      </w:r>
    </w:p>
    <w:p w14:paraId="3CBAC877" w14:textId="401362B4"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14.  De uitzendkracht geniet hetzelfde niveau van bescherming als de andere werknemers van de onderneming voor wat betreft de arbeidsveiligheid en -hygiëne. De uitzendkracht mag slechts de werkzaamheden uitvoeren zoals die vermeld worden op de werkpostfiche of, </w:t>
      </w:r>
      <w:r w:rsidR="00CE3E38" w:rsidRPr="004E4FAA">
        <w:rPr>
          <w:rFonts w:eastAsia="Times New Roman" w:cs="Arial"/>
          <w:sz w:val="18"/>
          <w:szCs w:val="18"/>
          <w:lang w:eastAsia="nl-NL"/>
        </w:rPr>
        <w:t>als</w:t>
      </w:r>
      <w:r w:rsidRPr="004E4FAA">
        <w:rPr>
          <w:rFonts w:eastAsia="Times New Roman" w:cs="Arial"/>
          <w:sz w:val="18"/>
          <w:szCs w:val="18"/>
          <w:lang w:eastAsia="nl-NL"/>
        </w:rPr>
        <w:t xml:space="preserve"> geen werkpostfiche vereist is, zoals die vermeld worden in de bijzondere commerciële voorwaarden, meer bepaald in de beschrijving van de werkpost, de vereiste beroepskwalificatie en het resultaat van de risico- evaluatie.</w:t>
      </w:r>
    </w:p>
    <w:p w14:paraId="64A94708" w14:textId="1FB2FF6A" w:rsidR="000F5279" w:rsidRPr="004E4FAA" w:rsidRDefault="7C40A21B" w:rsidP="004E4FAA">
      <w:pPr>
        <w:spacing w:after="0"/>
        <w:jc w:val="both"/>
        <w:rPr>
          <w:rFonts w:eastAsia="Times New Roman" w:cs="Arial"/>
          <w:sz w:val="18"/>
          <w:szCs w:val="22"/>
          <w:lang w:eastAsia="nl-NL"/>
        </w:rPr>
      </w:pPr>
      <w:r w:rsidRPr="004E4FAA">
        <w:rPr>
          <w:rFonts w:eastAsia="Times New Roman" w:cs="Arial"/>
          <w:sz w:val="18"/>
          <w:szCs w:val="22"/>
          <w:lang w:eastAsia="nl-NL"/>
        </w:rPr>
        <w:t>Overeenkomstig het koninklijk besluit van 15 december 2010 dient de gebruiker, in de vastgestelde gevallen, de werkpostfiche in te vullen en nog voor de terbeschikkingstelling van de uitzendkracht aan SD Worx Staffing Solutions te bezorgen.</w:t>
      </w:r>
    </w:p>
    <w:p w14:paraId="4D16FAE3"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Bij het opstellen van deze werkpostfiche heeft de gebruiker het advies ingewonnen van zijn preventiedienst en arbeidsgeneesheer.</w:t>
      </w:r>
    </w:p>
    <w:p w14:paraId="05A3AF69" w14:textId="1CDED43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De gebruiker draagt (</w:t>
      </w:r>
      <w:r w:rsidR="00CE3E38" w:rsidRPr="004E4FAA">
        <w:rPr>
          <w:rFonts w:eastAsia="Times New Roman" w:cs="Arial"/>
          <w:sz w:val="18"/>
          <w:szCs w:val="18"/>
          <w:lang w:eastAsia="nl-NL"/>
        </w:rPr>
        <w:t>volgens</w:t>
      </w:r>
      <w:r w:rsidRPr="004E4FAA">
        <w:rPr>
          <w:rFonts w:eastAsia="Times New Roman" w:cs="Arial"/>
          <w:sz w:val="18"/>
          <w:szCs w:val="18"/>
          <w:lang w:eastAsia="nl-NL"/>
        </w:rPr>
        <w:t xml:space="preserve"> artikel 11, 2° van het koninklijk besluit van 15 december 2010) de eindverantwoordelijkheid voor het ter beschikking stellen van werkkleding en persoonlijke beschermingsmiddelen, evenals voor de reiniging, de herstelling en het behoud in normale gebruiksklare staat ervan, zelfs indien een afwijkende commerciële overeenkomst over de levering hiervan met SD Worx Staffing Solutions werd afgesloten.</w:t>
      </w:r>
    </w:p>
    <w:p w14:paraId="738CF38F"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De gebruiker mag de uitzendkracht dus alleen de taak opleggen waarvoor hij ter beschikking werd gesteld. Tenzij anders overeengekomen verricht de uitzendkracht geen werkzaamheden die geregeld worden door een bijzondere beschermingsreglementering, zoals ongezond, gevaarlijk, ondergronds werk en werkzaamheden op hoogte. Tenzij anders overeengekomen krijgt de uitzendkracht geen opdracht voor werk in het buitenland. Overeenkomstig art. 2 en 4 van de CAO van 8 september 1993 organiseert de gebruiker op het ogenblik dat de uitzendkracht zijn opdracht aanvat, de introductie en de aanpassing van de nieuwe uitzendkrachten in de onderneming en houdt hij rekening met deze uitzendkrachten bij de vaststelling van de aan te wenden middelen om de introductie in de onderneming te bevorderen.</w:t>
      </w:r>
    </w:p>
    <w:p w14:paraId="0168996F"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15. In geval van een arbeidsongeval van een uitzendkracht moet de gebruiker, na alle dringende maatregelen te hebben getroffen en na het verlenen van de eerste hulp en de eventuele overbrenging naar een geneesheer of verzorgingsinstelling, onmiddellijk SD Worx Staffing Solutions verwittigen en alle nodige informatie verschaffen voor het opstellen van de ongevalsmelding. Bij uitstel of verzuim hiervan kan de gebruiker rechtstreeks aansprakelijk worden gesteld.</w:t>
      </w:r>
    </w:p>
    <w:p w14:paraId="24D2DAC4" w14:textId="2D3E59C2"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De gebruiker bezorgt SD Worx Staffing Solutions de nodige ingevulde en ondertekende werkpostfiches voor aanvang van tewerkstelling van de uitzendkracht. Wanneer een uitzendkracht van SD Worx Staffing Solutions betrokken wordt bij een arbeidsongeval, dan zal de gebruiker, na alle dringende maatregelen te hebben getroffen, onmiddellijk SD Worx Staffing Solutions verwittigen en door middel van het ter beschikking gestelde formulier de nodige informatie verschaffen voor het opstellen van de ongevalsaangifte. </w:t>
      </w:r>
      <w:r w:rsidR="00CE3E38" w:rsidRPr="004E4FAA">
        <w:rPr>
          <w:rFonts w:eastAsia="Times New Roman" w:cs="Arial"/>
          <w:sz w:val="18"/>
          <w:szCs w:val="18"/>
          <w:lang w:eastAsia="nl-NL"/>
        </w:rPr>
        <w:t>Volgens</w:t>
      </w:r>
      <w:r w:rsidRPr="004E4FAA">
        <w:rPr>
          <w:rFonts w:eastAsia="Times New Roman" w:cs="Arial"/>
          <w:sz w:val="18"/>
          <w:szCs w:val="18"/>
          <w:lang w:eastAsia="nl-NL"/>
        </w:rPr>
        <w:t xml:space="preserve"> art. 94 ter, § 1 van de Welzijnswet van 4 augustus 1996, onderzoekt de preventieadviseur van de gebruiker elk ernstig ongeval overkomen aan de uitzendkracht. </w:t>
      </w:r>
      <w:r w:rsidR="00CE3E38" w:rsidRPr="004E4FAA">
        <w:rPr>
          <w:rFonts w:eastAsia="Times New Roman" w:cs="Arial"/>
          <w:sz w:val="18"/>
          <w:szCs w:val="18"/>
          <w:lang w:eastAsia="nl-NL"/>
        </w:rPr>
        <w:t>Volgens</w:t>
      </w:r>
      <w:r w:rsidRPr="004E4FAA">
        <w:rPr>
          <w:rFonts w:eastAsia="Times New Roman" w:cs="Arial"/>
          <w:sz w:val="18"/>
          <w:szCs w:val="18"/>
          <w:lang w:eastAsia="nl-NL"/>
        </w:rPr>
        <w:t xml:space="preserve"> hetzelfde artikel 94ter, § 2 van de Welzijnswet neemt de preventieadviseur van de gebruiker contact op met de preventiedeskundige van SD Worx Staffing Solutions, waarbij deze laatste zijn medewerking verleent aan het onderzoek en waarbij maatregelen worden besproken </w:t>
      </w:r>
      <w:r w:rsidR="00CE3E38" w:rsidRPr="004E4FAA">
        <w:rPr>
          <w:rFonts w:eastAsia="Times New Roman" w:cs="Arial"/>
          <w:sz w:val="18"/>
          <w:szCs w:val="18"/>
          <w:lang w:eastAsia="nl-NL"/>
        </w:rPr>
        <w:t>om</w:t>
      </w:r>
      <w:r w:rsidRPr="004E4FAA">
        <w:rPr>
          <w:rFonts w:eastAsia="Times New Roman" w:cs="Arial"/>
          <w:sz w:val="18"/>
          <w:szCs w:val="18"/>
          <w:lang w:eastAsia="nl-NL"/>
        </w:rPr>
        <w:t xml:space="preserve"> gelijkaardige ongevallen met uitzendkrachten in de toekomst te vermijden. De preventieadviseur van de gebruiker maakt het omstandig verslag op. De respectieve maatregelen die op basis van dit verslag door de gebruiker en SD Worx Staffing Solutions zullen worden genomen, worden door hen aangebracht en ondertekend op het verslag dat finaal door de gebruiker naar de Federale Inspectiedienst wordt opgestuurd, en dit binnen de 10 dagen na het ongeval. De gebruiker verklaart hiermee op de hoogte te zijn van het K.B. van 25 april 2007 betreffende het onthaal en de begeleiding van medewerkers met betrekking tot het welzijn op het werk. </w:t>
      </w:r>
      <w:r w:rsidR="00CE3E38" w:rsidRPr="004E4FAA">
        <w:rPr>
          <w:rFonts w:eastAsia="Times New Roman" w:cs="Arial"/>
          <w:sz w:val="18"/>
          <w:szCs w:val="18"/>
          <w:lang w:eastAsia="nl-NL"/>
        </w:rPr>
        <w:t>Concreet</w:t>
      </w:r>
      <w:r w:rsidRPr="004E4FAA">
        <w:rPr>
          <w:rFonts w:eastAsia="Times New Roman" w:cs="Arial"/>
          <w:sz w:val="18"/>
          <w:szCs w:val="18"/>
          <w:lang w:eastAsia="nl-NL"/>
        </w:rPr>
        <w:t xml:space="preserve"> betekent dit dat de gebruiker instaat voor het onthaal en de begeleiding van nieuwe uitzendkrachten.</w:t>
      </w:r>
    </w:p>
    <w:p w14:paraId="481F67D2"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16. De gebruiker is als enige aansprakelijk voor het terugsturen van de ondertekende klantenfiche en (het toezicht op) het terugsturen van de ingevulde en ondertekende prestatiestaten. Bij gebreke hiervan kan de gebruiker de niet-ondertekening niet ten nadele van SD Worx Staffing Solutions inroepen en factureert SD Worx Staffing Solutions de werkelijk door de uitzendkracht gewerkte uren, met als minimum de contractueel overeengekomen werkuren, aan de gebruiker. </w:t>
      </w:r>
    </w:p>
    <w:p w14:paraId="77DEC7BA"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17. Door de prestatiestaat te ondertekenen, bevestigt de gebruiker de juistheid van de opgegeven gewerkte uren en de uitvoering van de werkzaamheden die door de uitzendkracht verricht werden. Deze ondertekening vindt onverwijld plaats na afloop van de gewerkte uren, die beschreven worden op de betreffende prestatiestaat, opdat de gebruiker een vlotte en correcte afhandeling van de betaling van het loon door SD Worx Staffing Solutions geenszins in de weg staat. De gebruiker kan de geldigheid van de ondertekening door zijn aangestelden of mandatarissen niet betwisten.</w:t>
      </w:r>
    </w:p>
    <w:p w14:paraId="38A12A66"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lastRenderedPageBreak/>
        <w:t>Bij automatische verwerking van gewerkte uren gaat de gebruiker steeds akkoord met de gegevens van de gewerkte uren zoals deze op geautomatiseerde of elektronische wijze worden doorgegeven aan SD Worx Staffing Solutions, tenzij schriftelijk anders wordt overeengekomen. Alleen de gebruiker is aansprakelijk bij fouten in de geautomatiseerde verzending.</w:t>
      </w:r>
    </w:p>
    <w:p w14:paraId="19E46067"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18.  De facturatie geschiedt op basis van de gewerkte uren zoals vermeld op de prestatiestaten of zoals op elektronische wijze doorgegeven door de gebruiker, met een minimum van de door gebruiker aangevraagde uren, behalve wanneer er minder uren gewerkt werden door het uitsluitende toedoen van de uitzendkracht en indien voldaan werd aan de informatieverplichting die bepaald wordt in artikel 5 van deze voorwaarden. Bij gebrek aan door de gebruiker ingevulde en ondertekende prestatiestaten wordt de facturatie uitgevoerd op basis van de werkelijk door de uitzendkracht gewerkte uren, met een minimum van de door de gebruiker aangevraagde uren. In dit kader worden alle door de gebruiker aan zijn vast personeel toegekende en verloonde vrije uren en dagen zoals extralegale feestdagen, vakantiedagen, brugdagen, enz., waar de uitzendkracht ook recht op heeft, eveneens beschouwd als gewerkte uren en als dusdanig gefactureerd aan de gebruiker.</w:t>
      </w:r>
    </w:p>
    <w:p w14:paraId="2FFF043C" w14:textId="6CCF1DB1"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Deze aanvankelijke factuurprijs wordt verhoogd met de overeengekomen coëfficiënt en/of het overeengekomen tarief. Deze coëfficiënt en/of dit tarief worden door SD Worx Staffing Solutions eenzijdig verhoogd in geval van stijging van de directe of indirecte werkgeversbijdragen evenals van alle mogelijke andere factoren die de werkelijke loonkosten bepalen. Dit tarief wordt eveneens door SD Worx Staffing Solutions eenzijdig verhoogd bij stijging van het basisloon van de uitzendkracht als gevolg van de indexaties van de lonen en de conventionele loonsverhogingen die van toepassing zijn bij de gebruiker.</w:t>
      </w:r>
      <w:r w:rsidR="006A257B" w:rsidRPr="004E4FAA">
        <w:rPr>
          <w:rFonts w:eastAsia="Times New Roman" w:cs="Arial"/>
          <w:sz w:val="18"/>
          <w:szCs w:val="18"/>
          <w:lang w:eastAsia="nl-NL"/>
        </w:rPr>
        <w:t xml:space="preserve"> </w:t>
      </w:r>
      <w:r w:rsidRPr="004E4FAA">
        <w:rPr>
          <w:rFonts w:eastAsia="Times New Roman" w:cs="Arial"/>
          <w:sz w:val="18"/>
          <w:szCs w:val="18"/>
          <w:lang w:eastAsia="nl-NL"/>
        </w:rPr>
        <w:t>De facturatie geschiedt met inbegrip van de overige looncomponenten zoals bepaald in artikel 13 van deze voorwaarden en de andere schriftelijke prijsafspraken, en met inbegrip van de toepasselijke btw.</w:t>
      </w:r>
    </w:p>
    <w:p w14:paraId="65524FE8"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Voor bijzondere prestaties (zoals overuren, werk in ploegen, bij nacht, op zon- en feestdagen, enz.) wordt de uitzendkracht vergoed overeenkomstig de bij de gebruiker terzake toepasselijke wet en/of CAO. De aldus te betalen loontoeslag wordt aan de gebruiker gefactureerd met dezelfde coëfficiënt als de coëfficiënt die toegepast wordt op het basisloon van de uitzendkracht of als de coëfficiënt die gebruikt wordt voor de berekening van het tarief.</w:t>
      </w:r>
    </w:p>
    <w:p w14:paraId="21D05684" w14:textId="27608DF6"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19.  Alle klachten </w:t>
      </w:r>
      <w:r w:rsidR="00CE3E38" w:rsidRPr="004E4FAA">
        <w:rPr>
          <w:rFonts w:eastAsia="Times New Roman" w:cs="Arial"/>
          <w:sz w:val="18"/>
          <w:szCs w:val="18"/>
          <w:lang w:eastAsia="nl-NL"/>
        </w:rPr>
        <w:t>over</w:t>
      </w:r>
      <w:r w:rsidRPr="004E4FAA">
        <w:rPr>
          <w:rFonts w:eastAsia="Times New Roman" w:cs="Arial"/>
          <w:sz w:val="18"/>
          <w:szCs w:val="18"/>
          <w:lang w:eastAsia="nl-NL"/>
        </w:rPr>
        <w:t xml:space="preserve"> de facturen moeten SD Worx Staffing Solutions binnen acht kalenderdagen na de factuurdatum per gemotiveerd aangetekend schrijven bereiken. Na deze termijn is de klacht onontvankelijk.</w:t>
      </w:r>
    </w:p>
    <w:p w14:paraId="5336E957" w14:textId="72673714"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20. De facturen van SD Worx Staffing Solutions zijn betaalbaar tegen de vervaldatum zoals op de factuur vermeld, </w:t>
      </w:r>
      <w:r w:rsidR="00CE3E38" w:rsidRPr="004E4FAA">
        <w:rPr>
          <w:rFonts w:eastAsia="Times New Roman" w:cs="Arial"/>
          <w:sz w:val="18"/>
          <w:szCs w:val="18"/>
          <w:lang w:eastAsia="nl-NL"/>
        </w:rPr>
        <w:t>onder voorbehoud van</w:t>
      </w:r>
      <w:r w:rsidRPr="004E4FAA">
        <w:rPr>
          <w:rFonts w:eastAsia="Times New Roman" w:cs="Arial"/>
          <w:sz w:val="18"/>
          <w:szCs w:val="18"/>
          <w:lang w:eastAsia="nl-NL"/>
        </w:rPr>
        <w:t xml:space="preserve"> andersluidende schriftelijke overeenkomst. Bij gebrek aan betaling op de vervaldatum van een factuur stuurt SD Worx Staffing Solutions een aanmaningsbericht (vb. via mail/brief) naar de in gebreke blijvende gebruiker.  Bij niet-betaling van een factuur is na een 2</w:t>
      </w:r>
      <w:r w:rsidRPr="004E4FAA">
        <w:rPr>
          <w:rFonts w:eastAsia="Times New Roman" w:cs="Arial"/>
          <w:sz w:val="18"/>
          <w:szCs w:val="18"/>
          <w:vertAlign w:val="superscript"/>
          <w:lang w:eastAsia="nl-NL"/>
        </w:rPr>
        <w:t>de</w:t>
      </w:r>
      <w:r w:rsidRPr="004E4FAA">
        <w:rPr>
          <w:rFonts w:eastAsia="Times New Roman" w:cs="Arial"/>
          <w:sz w:val="18"/>
          <w:szCs w:val="18"/>
          <w:lang w:eastAsia="nl-NL"/>
        </w:rPr>
        <w:t xml:space="preserve"> aanmaningsbericht een intrest verschuldigd ten belope van 1% per maand, berekend op het achterstallig factuurbedrag vermeerderd met de btw, en dit vanaf de oorspronkelijke vervaldatum van de factuur. Daarbovenop is een eenmalige forfaitaire schadevergoeding verschuldigd van 100 EUR.</w:t>
      </w:r>
      <w:r w:rsidR="00F96F7D">
        <w:rPr>
          <w:rFonts w:eastAsia="Times New Roman" w:cs="Arial"/>
          <w:sz w:val="18"/>
          <w:szCs w:val="18"/>
          <w:lang w:eastAsia="nl-NL"/>
        </w:rPr>
        <w:t xml:space="preserve"> </w:t>
      </w:r>
      <w:r w:rsidRPr="004E4FAA">
        <w:rPr>
          <w:rFonts w:eastAsia="Times New Roman" w:cs="Arial"/>
          <w:sz w:val="18"/>
          <w:szCs w:val="18"/>
          <w:lang w:eastAsia="nl-NL"/>
        </w:rPr>
        <w:t>Elke schriftelijk toegekende betalingsmodaliteit komt van rechtswege te vervallen zodra SD Worx Staffing Solutions moet overgaan tot het invorderen via gerechtelijke weg van openstaande facturen ten laste van de gebruiker. Bij schriftelijke ingebrekestelling, in geval van dagvaardingen van de RSZ of alle andere tekenen van dubieuze solvabiliteit van de gebruiker, vervallen de door SD Worx Staffing Solutions toegekende betalingsmodaliteiten eveneens van rechtswege. In zulke gevallen worden alle facturen (zelfs de facturen die nog niet vervallen zijn) eveneens van rechtswege opeisbaar.</w:t>
      </w:r>
    </w:p>
    <w:p w14:paraId="04A69494" w14:textId="378B60C9"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De uitzendkracht is niet gemachtigd facturen te innen.</w:t>
      </w:r>
      <w:r w:rsidR="00F96F7D">
        <w:rPr>
          <w:rFonts w:eastAsia="Times New Roman" w:cs="Arial"/>
          <w:sz w:val="18"/>
          <w:szCs w:val="18"/>
          <w:lang w:eastAsia="nl-NL"/>
        </w:rPr>
        <w:t xml:space="preserve"> </w:t>
      </w:r>
      <w:r w:rsidRPr="004E4FAA">
        <w:rPr>
          <w:rFonts w:eastAsia="Times New Roman" w:cs="Arial"/>
          <w:sz w:val="18"/>
          <w:szCs w:val="18"/>
          <w:lang w:eastAsia="nl-NL"/>
        </w:rPr>
        <w:t xml:space="preserve">SD Worx Staffing Solutions behoudt zich het recht voor om artikel 1289 Oud Burgerlijk Wetboek </w:t>
      </w:r>
      <w:r w:rsidR="00CE3E38" w:rsidRPr="004E4FAA">
        <w:rPr>
          <w:rFonts w:eastAsia="Times New Roman" w:cs="Arial"/>
          <w:sz w:val="18"/>
          <w:szCs w:val="18"/>
          <w:lang w:eastAsia="nl-NL"/>
        </w:rPr>
        <w:t>over</w:t>
      </w:r>
      <w:r w:rsidRPr="004E4FAA">
        <w:rPr>
          <w:rFonts w:eastAsia="Times New Roman" w:cs="Arial"/>
          <w:sz w:val="18"/>
          <w:szCs w:val="18"/>
          <w:lang w:eastAsia="nl-NL"/>
        </w:rPr>
        <w:t xml:space="preserve"> schuldvergelijking toe te passen. Voor zover mogelijk, behoudt dit artikel zijn uitwerking in geval van toepassing van de Wet Continuïteit Ondernemingen.</w:t>
      </w:r>
    </w:p>
    <w:p w14:paraId="059EA40C"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21. Overeenkomstig art. 17 van de wet van 24 juli 1987 wordt de gebruiker verzocht binnen zeven werkdagen vanaf het begin van de terbeschikkingstelling één exemplaar van de overeenkomst/klantenfiche aan SD Worx Staffing Solutions te doen toekomen. Dit wordt opgevangen door de klantenfiche waarvan sprake in artikel 16.</w:t>
      </w:r>
    </w:p>
    <w:p w14:paraId="32080F44"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22. Indien de gebruiker zijn wettelijke verplichtingen of een essentiële bepaling van de samenwerkingsovereenkomst of van deze algemene voorwaarden niet nakomt, alsmede in elk geval van wanbetaling, opzettelijke fout of bedrog, heeft SD Worx Staffing Solutions het recht, zonder dat zij aangesproken kan worden tot de betaling van enige schadevergoeding en zonder voorafgaande rechterlijke tussenkomst, de lopende overeenkomsten als ontbonden te beschouwen en haar uitzendkrachten onmiddellijk terug te trekken, zonder afbreuk te doen aan enige schadevergoeding waarop SD Worx Staffing Solutions recht zou hebben wegens contractuele wanprestatie.</w:t>
      </w:r>
    </w:p>
    <w:p w14:paraId="6161C4E7" w14:textId="77777777" w:rsidR="00DE57BE"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23. In geval van voortijdige afwerving geldt het volgende. </w:t>
      </w:r>
      <w:r w:rsidR="00CE3E38" w:rsidRPr="004E4FAA">
        <w:rPr>
          <w:rFonts w:eastAsia="Times New Roman" w:cs="Arial"/>
          <w:sz w:val="18"/>
          <w:szCs w:val="18"/>
          <w:lang w:eastAsia="nl-NL"/>
        </w:rPr>
        <w:t>Als</w:t>
      </w:r>
      <w:r w:rsidRPr="004E4FAA">
        <w:rPr>
          <w:rFonts w:eastAsia="Times New Roman" w:cs="Arial"/>
          <w:sz w:val="18"/>
          <w:szCs w:val="18"/>
          <w:lang w:eastAsia="nl-NL"/>
        </w:rPr>
        <w:t xml:space="preserve"> de gebruiker vóór de overeengekomen termijn, zonder tussenkomst van SD Worx Staffing Solutions, een arbeidsverhouding aangaat met de uitzendkracht voor dezelfde of een andere functie, moet de gebruiker aan SD Worx Staffing Solutions, bij wijze van vergoeding voor geleden schade, een werkingskost betalen die gelijk is aan 20% van het </w:t>
      </w:r>
      <w:r w:rsidR="00CE3E38" w:rsidRPr="004E4FAA">
        <w:rPr>
          <w:rFonts w:eastAsia="Times New Roman" w:cs="Arial"/>
          <w:sz w:val="18"/>
          <w:szCs w:val="18"/>
          <w:lang w:eastAsia="nl-NL"/>
        </w:rPr>
        <w:t>bruto jaarloon</w:t>
      </w:r>
      <w:r w:rsidRPr="004E4FAA">
        <w:rPr>
          <w:rFonts w:eastAsia="Times New Roman" w:cs="Arial"/>
          <w:sz w:val="18"/>
          <w:szCs w:val="18"/>
          <w:lang w:eastAsia="nl-NL"/>
        </w:rPr>
        <w:t xml:space="preserve"> van de betrokken uitzendkracht.</w:t>
      </w:r>
      <w:r w:rsidR="00DE57BE">
        <w:rPr>
          <w:rFonts w:eastAsia="Times New Roman" w:cs="Arial"/>
          <w:sz w:val="18"/>
          <w:szCs w:val="18"/>
          <w:lang w:eastAsia="nl-NL"/>
        </w:rPr>
        <w:t xml:space="preserve"> </w:t>
      </w:r>
      <w:r w:rsidRPr="004E4FAA">
        <w:rPr>
          <w:rFonts w:eastAsia="Times New Roman" w:cs="Arial"/>
          <w:sz w:val="18"/>
          <w:szCs w:val="18"/>
          <w:lang w:eastAsia="nl-NL"/>
        </w:rPr>
        <w:t>Bovenvermelde vergoeding is forfaitair vastgesteld op basis van het onderling akkoord tussen de gebruiker en SD Worx Staffing Solutions dat de schade, geleden door SD Worx Staffing Solutions, onder</w:t>
      </w:r>
      <w:r w:rsidR="00CE3E38" w:rsidRPr="004E4FAA">
        <w:rPr>
          <w:rFonts w:eastAsia="Times New Roman" w:cs="Arial"/>
          <w:sz w:val="18"/>
          <w:szCs w:val="18"/>
          <w:lang w:eastAsia="nl-NL"/>
        </w:rPr>
        <w:t xml:space="preserve"> </w:t>
      </w:r>
      <w:r w:rsidRPr="004E4FAA">
        <w:rPr>
          <w:rFonts w:eastAsia="Times New Roman" w:cs="Arial"/>
          <w:sz w:val="18"/>
          <w:szCs w:val="18"/>
          <w:lang w:eastAsia="nl-NL"/>
        </w:rPr>
        <w:t>meer gebaseerd is op de kosten die de gebruiker zou moeten besteden voor de prospectie, selectie en screening van een werknemer met dezelfde kwalificaties evenals de gederfde winst die daarmee overeenstemt.</w:t>
      </w:r>
      <w:r w:rsidR="00F96F7D">
        <w:rPr>
          <w:rFonts w:eastAsia="Times New Roman" w:cs="Arial"/>
          <w:sz w:val="18"/>
          <w:szCs w:val="18"/>
          <w:lang w:eastAsia="nl-NL"/>
        </w:rPr>
        <w:t xml:space="preserve"> </w:t>
      </w:r>
    </w:p>
    <w:p w14:paraId="2E7D88D5" w14:textId="372A007E"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lastRenderedPageBreak/>
        <w:t xml:space="preserve">Deze vergoeding wordt geprorateerd in functie van de </w:t>
      </w:r>
      <w:r w:rsidR="002F1666" w:rsidRPr="004E4FAA">
        <w:rPr>
          <w:rFonts w:eastAsia="Times New Roman" w:cs="Arial"/>
          <w:sz w:val="18"/>
          <w:szCs w:val="18"/>
          <w:lang w:eastAsia="nl-NL"/>
        </w:rPr>
        <w:t>al</w:t>
      </w:r>
      <w:r w:rsidRPr="004E4FAA">
        <w:rPr>
          <w:rFonts w:eastAsia="Times New Roman" w:cs="Arial"/>
          <w:sz w:val="18"/>
          <w:szCs w:val="18"/>
          <w:lang w:eastAsia="nl-NL"/>
        </w:rPr>
        <w:t xml:space="preserve"> gefactureerde uren.</w:t>
      </w:r>
      <w:r w:rsidR="004C5318" w:rsidRPr="004E4FAA">
        <w:rPr>
          <w:rFonts w:eastAsia="Times New Roman" w:cs="Arial"/>
          <w:sz w:val="18"/>
          <w:szCs w:val="18"/>
          <w:lang w:eastAsia="nl-NL"/>
        </w:rPr>
        <w:t xml:space="preserve"> </w:t>
      </w:r>
      <w:r w:rsidRPr="004E4FAA">
        <w:rPr>
          <w:rFonts w:eastAsia="Times New Roman" w:cs="Arial"/>
          <w:sz w:val="18"/>
          <w:szCs w:val="18"/>
          <w:lang w:eastAsia="nl-NL"/>
        </w:rPr>
        <w:t xml:space="preserve">SD Worx Staffing Solutions behoudt zich het recht voor om een hogere vergoeding te eisen als zij kan bewijzen dat de schade die zij geleden heeft, de bovenvermelde vergoeding overtreft. De gebruiker verbindt zich ertoe SD Worx Staffing Solutions op voorhand schriftelijk op de hoogte te brengen van zijn voornemen om met de uitzendkracht een arbeidsverhouding aan te gaan. </w:t>
      </w:r>
    </w:p>
    <w:p w14:paraId="20F70EB9"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Onder het aangaan van een arbeidsverhouding met de uitzendkracht wordt verstaan:</w:t>
      </w:r>
    </w:p>
    <w:p w14:paraId="40FCA3A7"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het aangaan van een arbeidsovereenkomst door de gebruiker met de uitzendkracht</w:t>
      </w:r>
    </w:p>
    <w:p w14:paraId="371F0C58"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het laten ter beschikking stellen van de uitzendkracht aan de gebruiker door een derde (onder andere een ander uitzendkantoor)</w:t>
      </w:r>
    </w:p>
    <w:p w14:paraId="3D295B2B"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het aangaan van een aannemingsovereenkomst met de uitzendkracht of met een derde die hiertoe de uitzendkracht in dienst genomen heeft</w:t>
      </w:r>
    </w:p>
    <w:p w14:paraId="769B5A3B"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 het aangaan van een arbeidsverhouding door de uitzendkracht en een derde, waarbij de gebruiker en die derde tot dezelfde groep behoren, moeder- of dochtervennootschap van elkaar zijn of verbonden of geassocieerde vennootschappen zijn. </w:t>
      </w:r>
    </w:p>
    <w:p w14:paraId="40E192ED"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Onder uitzendkracht wordt verstaan:</w:t>
      </w:r>
    </w:p>
    <w:p w14:paraId="28CE73ED"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de door SD Worx Staffing Solutions geselecteerde uitzendkracht die met een arbeidsovereenkomst voor uitzendarbeid ter beschikking gesteld werd aan de gebruiker</w:t>
      </w:r>
    </w:p>
    <w:p w14:paraId="13421F2C" w14:textId="4D8ADDC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 de kandidaat-uitzendkracht die door SD Worx Staffing Solutions werd voorgesteld aan de gebruiker. Onder </w:t>
      </w:r>
      <w:r w:rsidR="002F1666" w:rsidRPr="004E4FAA">
        <w:rPr>
          <w:rFonts w:eastAsia="Times New Roman" w:cs="Arial"/>
          <w:sz w:val="18"/>
          <w:szCs w:val="18"/>
          <w:lang w:eastAsia="nl-NL"/>
        </w:rPr>
        <w:t>bruto jaarloon</w:t>
      </w:r>
      <w:r w:rsidRPr="004E4FAA">
        <w:rPr>
          <w:rFonts w:eastAsia="Times New Roman" w:cs="Arial"/>
          <w:sz w:val="18"/>
          <w:szCs w:val="18"/>
          <w:lang w:eastAsia="nl-NL"/>
        </w:rPr>
        <w:t xml:space="preserve"> van de uitzendkracht wordt verstaan:</w:t>
      </w:r>
    </w:p>
    <w:p w14:paraId="6AB286D1" w14:textId="1A6A5E18"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 </w:t>
      </w:r>
      <w:r w:rsidR="002F1666" w:rsidRPr="004E4FAA">
        <w:rPr>
          <w:rFonts w:eastAsia="Times New Roman" w:cs="Arial"/>
          <w:sz w:val="18"/>
          <w:szCs w:val="18"/>
          <w:lang w:eastAsia="nl-NL"/>
        </w:rPr>
        <w:t>als</w:t>
      </w:r>
      <w:r w:rsidRPr="004E4FAA">
        <w:rPr>
          <w:rFonts w:eastAsia="Times New Roman" w:cs="Arial"/>
          <w:sz w:val="18"/>
          <w:szCs w:val="18"/>
          <w:lang w:eastAsia="nl-NL"/>
        </w:rPr>
        <w:t xml:space="preserve"> de uitzendkracht reeds gewerkt heeft: het laatst geldende bruto-uurloon x het in de sector van de gebruiker geldende gemiddelde aantal werkuren per week x 4,33 x 13,92</w:t>
      </w:r>
    </w:p>
    <w:p w14:paraId="5DEAE3BB"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indien de kandidaat-uitzendkracht nog niet gewerkt heeft: het bij de gebruiker voor de betreffende functie geldende brutoloon (met als minimum de barema’s van het Paritair Comité van de gebruiker) x het in de sector van de gebruiker geldende gemiddelde aantal werkuren per week x 4,33 x 13,92.</w:t>
      </w:r>
    </w:p>
    <w:p w14:paraId="172F54AD"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Bij afwerving van een door SD Worx Staffing Solutions tewerkgestelde uitzendkracht door een ander uitzendbureau binnen de 90 dagen volgend op de laatste tewerkgestelde dag via SD Worx Staffing Solutions wordt een wervingskost gefactureerd van €4500 per uitzendkracht aan de gebruiker. Dit bedrag zal gecumuleerd worden met de werkingskost.</w:t>
      </w:r>
    </w:p>
    <w:p w14:paraId="0DD03F3A" w14:textId="439BE98A"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Onderhavig artikel is niet van toepassing </w:t>
      </w:r>
      <w:r w:rsidR="002F1666" w:rsidRPr="004E4FAA">
        <w:rPr>
          <w:rFonts w:eastAsia="Times New Roman" w:cs="Arial"/>
          <w:sz w:val="18"/>
          <w:szCs w:val="18"/>
          <w:lang w:eastAsia="nl-NL"/>
        </w:rPr>
        <w:t>als</w:t>
      </w:r>
      <w:r w:rsidRPr="004E4FAA">
        <w:rPr>
          <w:rFonts w:eastAsia="Times New Roman" w:cs="Arial"/>
          <w:sz w:val="18"/>
          <w:szCs w:val="18"/>
          <w:lang w:eastAsia="nl-NL"/>
        </w:rPr>
        <w:t xml:space="preserve"> de Gebruiker zelf medewerkers op tijdelijke basis heeft geselecteerd en de loonadministratie ervan heeft uitbesteed aan SD Worx Staffing Solutions (= payrolling). De Gebruiker kan deze medewerkers op elk moment permanent in dienst nemen mits betaling van het overeengekomen tarief. </w:t>
      </w:r>
    </w:p>
    <w:p w14:paraId="09164766" w14:textId="77777777"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24.  Bij eenzijdige verbreking van de Overeenkomst door de gebruiker, zonder voortijdige afwerving, geldt het volgende.</w:t>
      </w:r>
    </w:p>
    <w:p w14:paraId="2C0C4204" w14:textId="7A74001F"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Op grond van artikel 1226 en volgende van het Oud Burgerlijk Wetboek moet de gebruiker die eenzijdig en voortijdig de Overeenkomst verbreekt, aan SD Worx Staffing Solutions een forfaitaire schadevergoeding betalen die overeenstemt met </w:t>
      </w:r>
      <w:r w:rsidRPr="004E4FAA">
        <w:rPr>
          <w:rFonts w:cs="Arial"/>
          <w:sz w:val="18"/>
          <w:szCs w:val="18"/>
        </w:rPr>
        <w:t>de resterende duur van de Overeenkomst. De forfaitaire schadevergoeding wordt berekend op basis van</w:t>
      </w:r>
      <w:r w:rsidRPr="004E4FAA">
        <w:rPr>
          <w:rFonts w:eastAsia="Times New Roman" w:cs="Arial"/>
          <w:sz w:val="18"/>
          <w:szCs w:val="18"/>
          <w:lang w:eastAsia="nl-NL"/>
        </w:rPr>
        <w:t xml:space="preserve"> het gemiddelde maandelijkse facturatiebedrag van de </w:t>
      </w:r>
      <w:r w:rsidR="002F1666" w:rsidRPr="004E4FAA">
        <w:rPr>
          <w:rFonts w:eastAsia="Times New Roman" w:cs="Arial"/>
          <w:sz w:val="18"/>
          <w:szCs w:val="18"/>
          <w:lang w:eastAsia="nl-NL"/>
        </w:rPr>
        <w:t>al</w:t>
      </w:r>
      <w:r w:rsidRPr="004E4FAA">
        <w:rPr>
          <w:rFonts w:eastAsia="Times New Roman" w:cs="Arial"/>
          <w:sz w:val="18"/>
          <w:szCs w:val="18"/>
          <w:lang w:eastAsia="nl-NL"/>
        </w:rPr>
        <w:t xml:space="preserve"> gefactureerde periode, met een minimum van 150 euro per kalenderdag. Dit geldt evenzeer in geval van nietigheid van de overeenkomst tussen de gebruiker en SD Worx Staffing Solutions als gevolg van de niet-naleving door de gebruiker van de hem opgelegde wettelijke verplichtingen of als gevolg van foutieve inlichtingen die door de gebruiker verstrekt worden bij het sluiten van de desbetreffende overeenkomst.</w:t>
      </w:r>
      <w:r w:rsidR="004C5318" w:rsidRPr="004E4FAA">
        <w:rPr>
          <w:rFonts w:eastAsia="Times New Roman" w:cs="Arial"/>
          <w:sz w:val="18"/>
          <w:szCs w:val="18"/>
          <w:lang w:eastAsia="nl-NL"/>
        </w:rPr>
        <w:t xml:space="preserve"> </w:t>
      </w:r>
      <w:r w:rsidRPr="004E4FAA">
        <w:rPr>
          <w:rFonts w:eastAsia="Times New Roman" w:cs="Arial"/>
          <w:sz w:val="18"/>
          <w:szCs w:val="18"/>
          <w:lang w:eastAsia="nl-NL"/>
        </w:rPr>
        <w:t>SD Worx Staffing Solutions behoudt zich echter het recht voor om een hogere schadevergoeding te eisen op voorwaarde dat het de omvang van de schade kan bewijzen.</w:t>
      </w:r>
    </w:p>
    <w:p w14:paraId="6D4D60ED" w14:textId="155BA477" w:rsidR="000F5279" w:rsidRPr="004E4FAA" w:rsidRDefault="000F5279" w:rsidP="004E4FAA">
      <w:pPr>
        <w:spacing w:after="0"/>
        <w:jc w:val="both"/>
        <w:rPr>
          <w:rFonts w:cs="Arial"/>
          <w:sz w:val="18"/>
          <w:szCs w:val="18"/>
          <w:lang w:eastAsia="nl-NL"/>
        </w:rPr>
      </w:pPr>
      <w:r w:rsidRPr="004E4FAA">
        <w:rPr>
          <w:rFonts w:cs="Arial"/>
          <w:sz w:val="18"/>
          <w:szCs w:val="18"/>
          <w:lang w:eastAsia="nl-NL"/>
        </w:rPr>
        <w:t>25.SD Worx Staffing Solutions heeft het recht om de naam en het logo van de Gebruiker met betrekking tot haar dienstverlening als referentie te gebruiken</w:t>
      </w:r>
      <w:r w:rsidR="0013036C">
        <w:rPr>
          <w:rFonts w:cs="Arial"/>
          <w:sz w:val="18"/>
          <w:szCs w:val="18"/>
          <w:lang w:eastAsia="nl-NL"/>
        </w:rPr>
        <w:t>.</w:t>
      </w:r>
    </w:p>
    <w:p w14:paraId="4C8C5D42" w14:textId="587B5394" w:rsidR="000F5279" w:rsidRPr="004E4FAA" w:rsidRDefault="000F5279" w:rsidP="004E4FAA">
      <w:pPr>
        <w:spacing w:after="0"/>
        <w:jc w:val="both"/>
        <w:rPr>
          <w:rFonts w:eastAsia="Times New Roman" w:cs="Arial"/>
          <w:sz w:val="18"/>
          <w:szCs w:val="18"/>
          <w:lang w:eastAsia="nl-NL"/>
        </w:rPr>
      </w:pPr>
      <w:r w:rsidRPr="004E4FAA">
        <w:rPr>
          <w:rFonts w:eastAsia="Times New Roman" w:cs="Arial"/>
          <w:sz w:val="18"/>
          <w:szCs w:val="18"/>
          <w:lang w:eastAsia="nl-NL"/>
        </w:rPr>
        <w:t xml:space="preserve">26. Deze algemene voorwaarden mogen geen enkele doorhaling bevatten en hebben voorrang op alle andere, met inbegrip van de algemene voorwaarden van de gebruiker, waarvan de gebruiker afstand doet door ondertekening van de samenwerkingsovereenkomst met SD Worx Staffing Solutions. Een afwijking van deze algemene voorwaarden is slechts mogelijk </w:t>
      </w:r>
      <w:r w:rsidR="002F1666" w:rsidRPr="004E4FAA">
        <w:rPr>
          <w:rFonts w:eastAsia="Times New Roman" w:cs="Arial"/>
          <w:sz w:val="18"/>
          <w:szCs w:val="18"/>
          <w:lang w:eastAsia="nl-NL"/>
        </w:rPr>
        <w:t>als</w:t>
      </w:r>
      <w:r w:rsidRPr="004E4FAA">
        <w:rPr>
          <w:rFonts w:eastAsia="Times New Roman" w:cs="Arial"/>
          <w:sz w:val="18"/>
          <w:szCs w:val="18"/>
          <w:lang w:eastAsia="nl-NL"/>
        </w:rPr>
        <w:t xml:space="preserve"> deze afwijking schriftelijk wordt overeengekomen (bijv. in de samenwerkingsovereenkomst).</w:t>
      </w:r>
    </w:p>
    <w:p w14:paraId="7A759DC9" w14:textId="4F7736B4" w:rsidR="00F96F7D" w:rsidRDefault="7C40A21B" w:rsidP="004E4FAA">
      <w:pPr>
        <w:spacing w:after="0"/>
        <w:jc w:val="both"/>
        <w:rPr>
          <w:rFonts w:eastAsia="Times New Roman" w:cs="Arial"/>
          <w:sz w:val="18"/>
          <w:szCs w:val="22"/>
          <w:lang w:eastAsia="nl-NL"/>
        </w:rPr>
      </w:pPr>
      <w:r w:rsidRPr="004E4FAA">
        <w:rPr>
          <w:rFonts w:eastAsia="Times New Roman" w:cs="Arial"/>
          <w:sz w:val="18"/>
          <w:szCs w:val="22"/>
          <w:lang w:eastAsia="nl-NL"/>
        </w:rPr>
        <w:t>27.  Op deze algemene voorwaarden is het Belgische recht van toepassing, met uitsluiting van bepalingen van internationaal privaatrecht. In geval van betwisting en/of wanbetaling zijn uitsluitend de rechtbanken van het arrondissement van de hoofdzetel van SD Worx Staffing Solutions nv bevoegd</w:t>
      </w:r>
      <w:r w:rsidR="0013036C">
        <w:rPr>
          <w:rFonts w:eastAsia="Times New Roman" w:cs="Arial"/>
          <w:sz w:val="18"/>
          <w:szCs w:val="22"/>
          <w:lang w:eastAsia="nl-NL"/>
        </w:rPr>
        <w:t>.</w:t>
      </w:r>
    </w:p>
    <w:p w14:paraId="7B310BC4" w14:textId="77777777" w:rsidR="00F96F7D" w:rsidRDefault="00F96F7D" w:rsidP="004E4FAA">
      <w:pPr>
        <w:spacing w:after="0"/>
        <w:jc w:val="both"/>
        <w:rPr>
          <w:rFonts w:eastAsia="Times New Roman" w:cs="Arial"/>
          <w:sz w:val="18"/>
          <w:szCs w:val="22"/>
          <w:lang w:eastAsia="nl-NL"/>
        </w:rPr>
      </w:pPr>
    </w:p>
    <w:p w14:paraId="663BB91C" w14:textId="7C713E0A" w:rsidR="00F96F7D" w:rsidRDefault="00F96F7D">
      <w:pPr>
        <w:spacing w:before="0" w:after="0" w:line="240" w:lineRule="auto"/>
        <w:rPr>
          <w:rFonts w:eastAsia="Times New Roman" w:cs="Arial"/>
          <w:sz w:val="18"/>
          <w:szCs w:val="22"/>
          <w:lang w:eastAsia="nl-NL"/>
        </w:rPr>
      </w:pPr>
    </w:p>
    <w:sectPr w:rsidR="00F96F7D" w:rsidSect="00AD6E2B">
      <w:headerReference w:type="default" r:id="rId11"/>
      <w:footerReference w:type="default" r:id="rId12"/>
      <w:pgSz w:w="11901" w:h="16817"/>
      <w:pgMar w:top="993" w:right="737" w:bottom="737" w:left="737" w:header="51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2510" w14:textId="77777777" w:rsidR="00B37C49" w:rsidRDefault="00B37C49" w:rsidP="00BC58B1">
      <w:r>
        <w:separator/>
      </w:r>
    </w:p>
    <w:p w14:paraId="55539E11" w14:textId="77777777" w:rsidR="00B37C49" w:rsidRDefault="00B37C49"/>
  </w:endnote>
  <w:endnote w:type="continuationSeparator" w:id="0">
    <w:p w14:paraId="5957F61C" w14:textId="77777777" w:rsidR="00B37C49" w:rsidRDefault="00B37C49" w:rsidP="00BC58B1">
      <w:r>
        <w:continuationSeparator/>
      </w:r>
    </w:p>
    <w:p w14:paraId="1E897494" w14:textId="77777777" w:rsidR="00B37C49" w:rsidRDefault="00B37C49"/>
  </w:endnote>
  <w:endnote w:type="continuationNotice" w:id="1">
    <w:p w14:paraId="270252D1" w14:textId="77777777" w:rsidR="00B37C49" w:rsidRDefault="00B37C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yriad Pro">
    <w:altName w:val="Times New Roman"/>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D54" w14:textId="77777777" w:rsidR="004106E8" w:rsidRPr="00556FC2" w:rsidRDefault="004106E8" w:rsidP="00B50425">
    <w:pPr>
      <w:framePr w:wrap="around" w:vAnchor="text" w:hAnchor="page" w:x="10305" w:y="240"/>
      <w:jc w:val="right"/>
      <w:rPr>
        <w:rStyle w:val="PageNumber"/>
        <w:color w:val="F3F4F3" w:themeColor="background1" w:themeTint="33"/>
      </w:rPr>
    </w:pPr>
    <w:r w:rsidRPr="00556FC2">
      <w:rPr>
        <w:rStyle w:val="PageNumber"/>
        <w:color w:val="F3F4F3" w:themeColor="background1" w:themeTint="33"/>
      </w:rPr>
      <w:fldChar w:fldCharType="begin"/>
    </w:r>
    <w:r w:rsidRPr="00556FC2">
      <w:rPr>
        <w:rStyle w:val="PageNumber"/>
        <w:color w:val="F3F4F3" w:themeColor="background1" w:themeTint="33"/>
      </w:rPr>
      <w:instrText xml:space="preserve">PAGE  </w:instrText>
    </w:r>
    <w:r w:rsidRPr="00556FC2">
      <w:rPr>
        <w:rStyle w:val="PageNumber"/>
        <w:color w:val="F3F4F3" w:themeColor="background1" w:themeTint="33"/>
      </w:rPr>
      <w:fldChar w:fldCharType="separate"/>
    </w:r>
    <w:r>
      <w:rPr>
        <w:rStyle w:val="PageNumber"/>
        <w:noProof/>
        <w:color w:val="F3F4F3" w:themeColor="background1" w:themeTint="33"/>
      </w:rPr>
      <w:t>4</w:t>
    </w:r>
    <w:r w:rsidRPr="00556FC2">
      <w:rPr>
        <w:rStyle w:val="PageNumber"/>
        <w:color w:val="F3F4F3" w:themeColor="background1" w:themeTint="33"/>
      </w:rPr>
      <w:fldChar w:fldCharType="end"/>
    </w:r>
  </w:p>
  <w:p w14:paraId="4DC6EBD0" w14:textId="79F4209E" w:rsidR="004346E0" w:rsidRDefault="00235062" w:rsidP="004346E0">
    <w:pPr>
      <w:spacing w:after="240" w:line="360" w:lineRule="auto"/>
      <w:ind w:left="993" w:firstLine="720"/>
      <w:contextualSpacing/>
      <w:rPr>
        <w:color w:val="75787B"/>
        <w:spacing w:val="-3"/>
        <w:sz w:val="14"/>
        <w:szCs w:val="12"/>
        <w:lang w:val="nl-BE"/>
      </w:rPr>
    </w:pPr>
    <w:r>
      <w:rPr>
        <w:noProof/>
        <w:color w:val="75787B"/>
        <w:spacing w:val="-3"/>
        <w:sz w:val="14"/>
        <w:szCs w:val="12"/>
        <w:lang w:val="nl-BE"/>
      </w:rPr>
      <w:drawing>
        <wp:anchor distT="0" distB="0" distL="114300" distR="114300" simplePos="0" relativeHeight="251658240" behindDoc="0" locked="0" layoutInCell="1" allowOverlap="1" wp14:anchorId="2CBE5740" wp14:editId="0E96DFFD">
          <wp:simplePos x="0" y="0"/>
          <wp:positionH relativeFrom="column">
            <wp:posOffset>5475605</wp:posOffset>
          </wp:positionH>
          <wp:positionV relativeFrom="paragraph">
            <wp:posOffset>24130</wp:posOffset>
          </wp:positionV>
          <wp:extent cx="1333500" cy="749935"/>
          <wp:effectExtent l="0" t="0" r="0" b="0"/>
          <wp:wrapSquare wrapText="bothSides"/>
          <wp:docPr id="61494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44066" name="Picture 1"/>
                  <pic:cNvPicPr/>
                </pic:nvPicPr>
                <pic:blipFill>
                  <a:blip r:embed="rId1"/>
                  <a:stretch>
                    <a:fillRect/>
                  </a:stretch>
                </pic:blipFill>
                <pic:spPr>
                  <a:xfrm>
                    <a:off x="0" y="0"/>
                    <a:ext cx="1333500" cy="749935"/>
                  </a:xfrm>
                  <a:prstGeom prst="rect">
                    <a:avLst/>
                  </a:prstGeom>
                </pic:spPr>
              </pic:pic>
            </a:graphicData>
          </a:graphic>
          <wp14:sizeRelH relativeFrom="margin">
            <wp14:pctWidth>0</wp14:pctWidth>
          </wp14:sizeRelH>
          <wp14:sizeRelV relativeFrom="margin">
            <wp14:pctHeight>0</wp14:pctHeight>
          </wp14:sizeRelV>
        </wp:anchor>
      </w:drawing>
    </w:r>
  </w:p>
  <w:p w14:paraId="119BC03E" w14:textId="782336A4" w:rsidR="00EF36AD" w:rsidRPr="00E94FE9" w:rsidRDefault="00480EE4" w:rsidP="0001049B">
    <w:pPr>
      <w:spacing w:after="240" w:line="360" w:lineRule="auto"/>
      <w:contextualSpacing/>
      <w:jc w:val="both"/>
      <w:rPr>
        <w:color w:val="75787B"/>
        <w:spacing w:val="-3"/>
        <w:sz w:val="14"/>
        <w:szCs w:val="12"/>
        <w:lang w:val="nl-BE"/>
      </w:rPr>
    </w:pPr>
    <w:r w:rsidRPr="00E94FE9">
      <w:rPr>
        <w:color w:val="75787B"/>
        <w:spacing w:val="-3"/>
        <w:sz w:val="14"/>
        <w:szCs w:val="12"/>
        <w:lang w:val="nl-BE"/>
      </w:rPr>
      <w:t>SD W</w:t>
    </w:r>
    <w:r w:rsidR="00EF36AD" w:rsidRPr="00E94FE9">
      <w:rPr>
        <w:color w:val="75787B"/>
        <w:spacing w:val="-3"/>
        <w:sz w:val="14"/>
        <w:szCs w:val="12"/>
        <w:lang w:val="nl-BE"/>
      </w:rPr>
      <w:t>o</w:t>
    </w:r>
    <w:r w:rsidRPr="00E94FE9">
      <w:rPr>
        <w:color w:val="75787B"/>
        <w:spacing w:val="-3"/>
        <w:sz w:val="14"/>
        <w:szCs w:val="12"/>
        <w:lang w:val="nl-BE"/>
      </w:rPr>
      <w:t xml:space="preserve">rx Staffing Solutions </w:t>
    </w:r>
    <w:r w:rsidR="00EF36AD" w:rsidRPr="00E94FE9">
      <w:rPr>
        <w:color w:val="75787B"/>
        <w:spacing w:val="-3"/>
        <w:sz w:val="14"/>
        <w:szCs w:val="12"/>
        <w:lang w:val="nl-BE"/>
      </w:rPr>
      <w:t xml:space="preserve">Brouwersvliet 2, 2000 Antwerpen – </w:t>
    </w:r>
    <w:r w:rsidR="00051C5B" w:rsidRPr="00E94FE9">
      <w:rPr>
        <w:color w:val="75787B"/>
        <w:spacing w:val="-3"/>
        <w:sz w:val="14"/>
        <w:szCs w:val="12"/>
        <w:lang w:val="nl-BE"/>
      </w:rPr>
      <w:t>0807.281.213</w:t>
    </w:r>
    <w:r w:rsidR="00051C5B">
      <w:rPr>
        <w:color w:val="75787B"/>
        <w:spacing w:val="-3"/>
        <w:sz w:val="14"/>
        <w:szCs w:val="12"/>
        <w:lang w:val="nl-BE"/>
      </w:rPr>
      <w:t xml:space="preserve"> - </w:t>
    </w:r>
    <w:r w:rsidR="00EF36AD" w:rsidRPr="00E94FE9">
      <w:rPr>
        <w:color w:val="75787B"/>
        <w:spacing w:val="-3"/>
        <w:sz w:val="14"/>
        <w:szCs w:val="12"/>
        <w:lang w:val="nl-BE"/>
      </w:rPr>
      <w:t>RSZ (097) 183 804 232</w:t>
    </w:r>
  </w:p>
  <w:p w14:paraId="5285FE54" w14:textId="375A2E1E" w:rsidR="00806C2C" w:rsidRDefault="00F85535" w:rsidP="0001049B">
    <w:pPr>
      <w:spacing w:after="240" w:line="360" w:lineRule="auto"/>
      <w:contextualSpacing/>
      <w:jc w:val="both"/>
      <w:rPr>
        <w:color w:val="75787B"/>
        <w:spacing w:val="-3"/>
        <w:sz w:val="14"/>
        <w:szCs w:val="12"/>
      </w:rPr>
    </w:pPr>
    <w:r w:rsidRPr="00E94FE9">
      <w:rPr>
        <w:color w:val="75787B"/>
        <w:spacing w:val="-3"/>
        <w:sz w:val="14"/>
        <w:szCs w:val="12"/>
      </w:rPr>
      <w:t>Erkenningsnr VG 1570/BU – 00396-405-20130225, 00396-406-20130228</w:t>
    </w:r>
    <w:r w:rsidR="001E3207">
      <w:rPr>
        <w:color w:val="75787B"/>
        <w:spacing w:val="-3"/>
        <w:sz w:val="14"/>
        <w:szCs w:val="12"/>
      </w:rPr>
      <w:t>,</w:t>
    </w:r>
    <w:r w:rsidR="00136E88" w:rsidRPr="00136E88">
      <w:rPr>
        <w:noProof/>
        <w:sz w:val="18"/>
        <w:szCs w:val="22"/>
        <w:lang w:val="nl-BE" w:eastAsia="nl-BE"/>
      </w:rPr>
      <w:t xml:space="preserve"> </w:t>
    </w:r>
  </w:p>
  <w:p w14:paraId="68C4A7C0" w14:textId="46D41DBF" w:rsidR="004346E0" w:rsidRDefault="00F85535" w:rsidP="0001049B">
    <w:pPr>
      <w:spacing w:after="240" w:line="360" w:lineRule="auto"/>
      <w:contextualSpacing/>
      <w:jc w:val="both"/>
      <w:rPr>
        <w:color w:val="75787B"/>
        <w:spacing w:val="-3"/>
        <w:sz w:val="14"/>
        <w:szCs w:val="12"/>
      </w:rPr>
    </w:pPr>
    <w:r w:rsidRPr="00E94FE9">
      <w:rPr>
        <w:color w:val="75787B"/>
        <w:spacing w:val="-3"/>
        <w:sz w:val="14"/>
        <w:szCs w:val="12"/>
      </w:rPr>
      <w:t>20018-405-20190409</w:t>
    </w:r>
    <w:r w:rsidR="001E3207">
      <w:rPr>
        <w:color w:val="75787B"/>
        <w:spacing w:val="-3"/>
        <w:sz w:val="14"/>
        <w:szCs w:val="12"/>
      </w:rPr>
      <w:t>/</w:t>
    </w:r>
    <w:r w:rsidRPr="00E94FE9">
      <w:rPr>
        <w:color w:val="75787B"/>
        <w:spacing w:val="-3"/>
        <w:sz w:val="14"/>
        <w:szCs w:val="12"/>
      </w:rPr>
      <w:t>W.DISP.682,</w:t>
    </w:r>
    <w:r w:rsidR="00DF192E">
      <w:rPr>
        <w:color w:val="75787B"/>
        <w:spacing w:val="-3"/>
        <w:sz w:val="14"/>
        <w:szCs w:val="12"/>
      </w:rPr>
      <w:t xml:space="preserve"> </w:t>
    </w:r>
    <w:r w:rsidRPr="00DF192E">
      <w:rPr>
        <w:color w:val="75787B"/>
        <w:spacing w:val="-3"/>
        <w:sz w:val="14"/>
        <w:szCs w:val="12"/>
        <w:lang w:val="nl-BE"/>
      </w:rPr>
      <w:t>W.RE.682,W.RS.682</w:t>
    </w:r>
    <w:r w:rsidR="001E3207" w:rsidRPr="00DF192E">
      <w:rPr>
        <w:color w:val="75787B"/>
        <w:spacing w:val="-3"/>
        <w:sz w:val="14"/>
        <w:szCs w:val="12"/>
        <w:lang w:val="nl-BE"/>
      </w:rPr>
      <w:t>,</w:t>
    </w:r>
    <w:r w:rsidR="004346E0">
      <w:rPr>
        <w:color w:val="75787B"/>
        <w:spacing w:val="-3"/>
        <w:sz w:val="14"/>
        <w:szCs w:val="12"/>
        <w:lang w:val="nl-BE"/>
      </w:rPr>
      <w:t xml:space="preserve"> </w:t>
    </w:r>
    <w:r w:rsidRPr="00DF192E">
      <w:rPr>
        <w:color w:val="75787B"/>
        <w:spacing w:val="-3"/>
        <w:sz w:val="14"/>
        <w:szCs w:val="12"/>
        <w:lang w:val="nl-BE"/>
      </w:rPr>
      <w:t>W.SO.682</w:t>
    </w:r>
    <w:r w:rsidR="001E3207" w:rsidRPr="00DF192E">
      <w:rPr>
        <w:color w:val="75787B"/>
        <w:spacing w:val="-3"/>
        <w:sz w:val="14"/>
        <w:szCs w:val="12"/>
        <w:lang w:val="nl-BE"/>
      </w:rPr>
      <w:t>/</w:t>
    </w:r>
    <w:r w:rsidRPr="00DF192E">
      <w:rPr>
        <w:color w:val="75787B"/>
        <w:spacing w:val="-3"/>
        <w:sz w:val="14"/>
        <w:szCs w:val="12"/>
        <w:lang w:val="nl-BE"/>
      </w:rPr>
      <w:t>DG-LAV</w:t>
    </w:r>
    <w:r w:rsidR="005E4FDA" w:rsidRPr="00DF192E">
      <w:rPr>
        <w:color w:val="75787B"/>
        <w:spacing w:val="-3"/>
        <w:sz w:val="14"/>
        <w:szCs w:val="12"/>
        <w:lang w:val="nl-BE"/>
      </w:rPr>
      <w:t xml:space="preserve"> </w:t>
    </w:r>
    <w:r w:rsidRPr="00DF192E">
      <w:rPr>
        <w:color w:val="75787B"/>
        <w:spacing w:val="-3"/>
        <w:sz w:val="14"/>
        <w:szCs w:val="12"/>
        <w:lang w:val="nl-BE"/>
      </w:rPr>
      <w:t>024</w:t>
    </w:r>
  </w:p>
  <w:p w14:paraId="0BFDAFCA" w14:textId="2691EA3E" w:rsidR="00F85535" w:rsidRPr="00E94FE9" w:rsidRDefault="00C32053" w:rsidP="0001049B">
    <w:pPr>
      <w:spacing w:after="240" w:line="360" w:lineRule="auto"/>
      <w:contextualSpacing/>
      <w:jc w:val="both"/>
      <w:rPr>
        <w:color w:val="75787B"/>
        <w:spacing w:val="-3"/>
        <w:sz w:val="14"/>
        <w:szCs w:val="12"/>
      </w:rPr>
    </w:pPr>
    <w:r w:rsidRPr="00E94FE9">
      <w:rPr>
        <w:color w:val="75787B"/>
        <w:spacing w:val="-3"/>
        <w:sz w:val="14"/>
        <w:szCs w:val="12"/>
      </w:rPr>
      <w:t>Lid van Federgon (beroepsfederatie uitzendarbeid)</w:t>
    </w:r>
    <w:r w:rsidR="00051C5B">
      <w:rPr>
        <w:color w:val="75787B"/>
        <w:spacing w:val="-3"/>
        <w:sz w:val="14"/>
        <w:szCs w:val="12"/>
      </w:rPr>
      <w:t xml:space="preserve"> </w:t>
    </w:r>
    <w:r w:rsidRPr="00E94FE9">
      <w:rPr>
        <w:color w:val="75787B"/>
        <w:spacing w:val="-3"/>
        <w:sz w:val="14"/>
        <w:szCs w:val="12"/>
      </w:rPr>
      <w:t xml:space="preserve">- </w:t>
    </w:r>
    <w:r w:rsidR="00EC5C2B">
      <w:rPr>
        <w:color w:val="75787B"/>
        <w:spacing w:val="-3"/>
        <w:sz w:val="14"/>
        <w:szCs w:val="12"/>
        <w:lang w:val="nl-BE"/>
      </w:rPr>
      <w:t>Interbedrijfsgeneeskundige dienst</w:t>
    </w:r>
    <w:r w:rsidR="00F85535" w:rsidRPr="00E94FE9">
      <w:rPr>
        <w:color w:val="75787B"/>
        <w:spacing w:val="-3"/>
        <w:sz w:val="14"/>
        <w:szCs w:val="12"/>
        <w:lang w:val="nl-BE"/>
      </w:rPr>
      <w:t xml:space="preserve"> Attentia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AEAD" w14:textId="77777777" w:rsidR="00B37C49" w:rsidRPr="00AC3C69" w:rsidRDefault="00B37C49" w:rsidP="00BC58B1">
      <w:pPr>
        <w:rPr>
          <w:color w:val="7C2855"/>
        </w:rPr>
      </w:pPr>
      <w:r w:rsidRPr="00AC3C69">
        <w:rPr>
          <w:color w:val="7C2855"/>
        </w:rPr>
        <w:t>——————————</w:t>
      </w:r>
    </w:p>
  </w:footnote>
  <w:footnote w:type="continuationSeparator" w:id="0">
    <w:p w14:paraId="5A5C0B51" w14:textId="77777777" w:rsidR="00B37C49" w:rsidRDefault="00B37C49" w:rsidP="00BC58B1">
      <w:r>
        <w:continuationSeparator/>
      </w:r>
    </w:p>
    <w:p w14:paraId="182B0AA7" w14:textId="77777777" w:rsidR="00B37C49" w:rsidRDefault="00B37C49"/>
  </w:footnote>
  <w:footnote w:type="continuationNotice" w:id="1">
    <w:p w14:paraId="4B5E3D45" w14:textId="77777777" w:rsidR="00B37C49" w:rsidRDefault="00B37C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D53" w14:textId="46F83C92" w:rsidR="004106E8" w:rsidRDefault="004106E8" w:rsidP="004959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DC85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85923"/>
    <w:multiLevelType w:val="hybridMultilevel"/>
    <w:tmpl w:val="0928B0AC"/>
    <w:name w:val="SDWorkx Bijlagen2"/>
    <w:lvl w:ilvl="0" w:tplc="A66ACDBA">
      <w:start w:val="1"/>
      <w:numFmt w:val="decimal"/>
      <w:lvlText w:val="Article %1"/>
      <w:lvlJc w:val="left"/>
      <w:pPr>
        <w:ind w:left="720" w:hanging="360"/>
      </w:pPr>
      <w:rPr>
        <w:rFonts w:hint="default"/>
      </w:rPr>
    </w:lvl>
    <w:lvl w:ilvl="1" w:tplc="A080D09C">
      <w:numFmt w:val="bullet"/>
      <w:lvlText w:val="-"/>
      <w:lvlJc w:val="left"/>
      <w:pPr>
        <w:ind w:left="1440" w:hanging="360"/>
      </w:pPr>
      <w:rPr>
        <w:rFonts w:ascii="Arial" w:eastAsia="Calibri" w:hAnsi="Arial"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911D0C"/>
    <w:multiLevelType w:val="hybridMultilevel"/>
    <w:tmpl w:val="F57AD06C"/>
    <w:lvl w:ilvl="0" w:tplc="F9CEE4B8">
      <w:start w:val="1"/>
      <w:numFmt w:val="lowerLetter"/>
      <w:lvlText w:val="%1)"/>
      <w:lvlJc w:val="left"/>
      <w:pPr>
        <w:ind w:left="720" w:hanging="360"/>
      </w:pPr>
      <w:rPr>
        <w:rFonts w:eastAsia="Calibri" w:cs="Times New Roman" w:hint="default"/>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2E95EA1"/>
    <w:multiLevelType w:val="hybridMultilevel"/>
    <w:tmpl w:val="0E8457DC"/>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44509E5"/>
    <w:multiLevelType w:val="hybridMultilevel"/>
    <w:tmpl w:val="854AC902"/>
    <w:lvl w:ilvl="0" w:tplc="AA90EBD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F844B2"/>
    <w:multiLevelType w:val="hybridMultilevel"/>
    <w:tmpl w:val="2E0011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5971DB"/>
    <w:multiLevelType w:val="hybridMultilevel"/>
    <w:tmpl w:val="5BCAD10E"/>
    <w:lvl w:ilvl="0" w:tplc="0813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7926B9D"/>
    <w:multiLevelType w:val="hybridMultilevel"/>
    <w:tmpl w:val="A18CFF92"/>
    <w:lvl w:ilvl="0" w:tplc="38BCF54E">
      <w:numFmt w:val="bullet"/>
      <w:pStyle w:val="Nummeringbullet"/>
      <w:lvlText w:val="•"/>
      <w:lvlJc w:val="left"/>
      <w:pPr>
        <w:ind w:left="1068" w:hanging="708"/>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7EA317E"/>
    <w:multiLevelType w:val="hybridMultilevel"/>
    <w:tmpl w:val="E8B027E4"/>
    <w:lvl w:ilvl="0" w:tplc="0813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A18465C"/>
    <w:multiLevelType w:val="multilevel"/>
    <w:tmpl w:val="3C002F84"/>
    <w:styleLink w:val="List-indentSDWorx"/>
    <w:lvl w:ilvl="0">
      <w:start w:val="1"/>
      <w:numFmt w:val="bullet"/>
      <w:lvlText w:val="-"/>
      <w:lvlJc w:val="left"/>
      <w:pPr>
        <w:ind w:left="170" w:hanging="170"/>
      </w:pPr>
      <w:rPr>
        <w:rFonts w:ascii="Arial" w:hAnsi="Arial" w:hint="default"/>
        <w:b w:val="0"/>
        <w:i w:val="0"/>
        <w:color w:val="404040"/>
        <w:sz w:val="20"/>
        <w:u w:val="none"/>
      </w:rPr>
    </w:lvl>
    <w:lvl w:ilvl="1">
      <w:start w:val="1"/>
      <w:numFmt w:val="bullet"/>
      <w:lvlText w:val="-"/>
      <w:lvlJc w:val="left"/>
      <w:pPr>
        <w:ind w:left="1080" w:hanging="360"/>
      </w:pPr>
      <w:rPr>
        <w:rFonts w:ascii="Arial" w:hAnsi="Arial" w:hint="default"/>
        <w:color w:val="404040"/>
        <w:sz w:val="20"/>
      </w:rPr>
    </w:lvl>
    <w:lvl w:ilvl="2">
      <w:start w:val="1"/>
      <w:numFmt w:val="bullet"/>
      <w:lvlText w:val="-"/>
      <w:lvlJc w:val="left"/>
      <w:pPr>
        <w:ind w:left="1800" w:hanging="360"/>
      </w:pPr>
      <w:rPr>
        <w:rFonts w:ascii="Arial" w:hAnsi="Arial" w:hint="default"/>
        <w:b w:val="0"/>
        <w:bCs w:val="0"/>
        <w:i w:val="0"/>
        <w:iCs w:val="0"/>
        <w:color w:val="404040"/>
        <w:sz w:val="20"/>
      </w:rPr>
    </w:lvl>
    <w:lvl w:ilvl="3">
      <w:start w:val="1"/>
      <w:numFmt w:val="bullet"/>
      <w:lvlText w:val="-"/>
      <w:lvlJc w:val="left"/>
      <w:pPr>
        <w:ind w:left="2520" w:hanging="360"/>
      </w:pPr>
      <w:rPr>
        <w:rFonts w:ascii="Arial" w:hAnsi="Arial" w:hint="default"/>
        <w:color w:val="404040"/>
        <w:sz w:val="20"/>
      </w:rPr>
    </w:lvl>
    <w:lvl w:ilvl="4">
      <w:start w:val="1"/>
      <w:numFmt w:val="bullet"/>
      <w:lvlText w:val="-"/>
      <w:lvlJc w:val="left"/>
      <w:pPr>
        <w:ind w:left="3240" w:hanging="360"/>
      </w:pPr>
      <w:rPr>
        <w:rFonts w:ascii="Arial" w:hAnsi="Arial" w:hint="default"/>
        <w:b w:val="0"/>
        <w:bCs w:val="0"/>
        <w:i w:val="0"/>
        <w:iCs w:val="0"/>
        <w:color w:val="404040"/>
        <w:sz w:val="20"/>
      </w:rPr>
    </w:lvl>
    <w:lvl w:ilvl="5">
      <w:start w:val="1"/>
      <w:numFmt w:val="bullet"/>
      <w:lvlText w:val="-"/>
      <w:lvlJc w:val="left"/>
      <w:pPr>
        <w:ind w:left="3960" w:hanging="360"/>
      </w:pPr>
      <w:rPr>
        <w:rFonts w:ascii="Arial" w:hAnsi="Arial" w:hint="default"/>
        <w:color w:val="404040"/>
        <w:sz w:val="20"/>
      </w:rPr>
    </w:lvl>
    <w:lvl w:ilvl="6">
      <w:start w:val="1"/>
      <w:numFmt w:val="bullet"/>
      <w:lvlText w:val="-"/>
      <w:lvlJc w:val="left"/>
      <w:pPr>
        <w:ind w:left="4680" w:hanging="360"/>
      </w:pPr>
      <w:rPr>
        <w:rFonts w:ascii="Arial" w:hAnsi="Arial" w:hint="default"/>
        <w:b w:val="0"/>
        <w:bCs w:val="0"/>
        <w:i w:val="0"/>
        <w:iCs w:val="0"/>
        <w:color w:val="404040"/>
        <w:sz w:val="20"/>
      </w:rPr>
    </w:lvl>
    <w:lvl w:ilvl="7">
      <w:start w:val="1"/>
      <w:numFmt w:val="bullet"/>
      <w:lvlText w:val="-"/>
      <w:lvlJc w:val="left"/>
      <w:pPr>
        <w:ind w:left="5400" w:hanging="360"/>
      </w:pPr>
      <w:rPr>
        <w:rFonts w:ascii="Arial" w:hAnsi="Arial" w:hint="default"/>
        <w:b w:val="0"/>
        <w:bCs w:val="0"/>
        <w:i w:val="0"/>
        <w:iCs w:val="0"/>
        <w:color w:val="404040"/>
        <w:sz w:val="20"/>
      </w:rPr>
    </w:lvl>
    <w:lvl w:ilvl="8">
      <w:start w:val="1"/>
      <w:numFmt w:val="bullet"/>
      <w:lvlText w:val="-"/>
      <w:lvlJc w:val="left"/>
      <w:pPr>
        <w:ind w:left="6120" w:hanging="360"/>
      </w:pPr>
      <w:rPr>
        <w:rFonts w:ascii="Arial" w:hAnsi="Arial" w:hint="default"/>
        <w:b w:val="0"/>
        <w:bCs w:val="0"/>
        <w:i w:val="0"/>
        <w:iCs w:val="0"/>
        <w:color w:val="404040"/>
        <w:sz w:val="20"/>
      </w:rPr>
    </w:lvl>
  </w:abstractNum>
  <w:abstractNum w:abstractNumId="10" w15:restartNumberingAfterBreak="0">
    <w:nsid w:val="1C46699B"/>
    <w:multiLevelType w:val="hybridMultilevel"/>
    <w:tmpl w:val="2E0011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F51EA4"/>
    <w:multiLevelType w:val="multilevel"/>
    <w:tmpl w:val="D9F41068"/>
    <w:styleLink w:val="SDWorxKoppen"/>
    <w:lvl w:ilvl="0">
      <w:start w:val="1"/>
      <w:numFmt w:val="decimal"/>
      <w:lvlText w:val="Artikel %1"/>
      <w:lvlJc w:val="left"/>
      <w:pPr>
        <w:ind w:left="360" w:hanging="360"/>
      </w:pPr>
      <w:rPr>
        <w:rFonts w:ascii="Arial" w:hAnsi="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val="0"/>
        <w:i w:val="0"/>
        <w:iCs w:val="0"/>
        <w:caps w:val="0"/>
        <w:smallCaps w:val="0"/>
        <w:strike w:val="0"/>
        <w:dstrike w:val="0"/>
        <w:noProof w:val="0"/>
        <w:vanish w:val="0"/>
        <w:color w:val="00000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9B53B1D"/>
    <w:multiLevelType w:val="hybridMultilevel"/>
    <w:tmpl w:val="FE48C4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A164BF6"/>
    <w:multiLevelType w:val="hybridMultilevel"/>
    <w:tmpl w:val="ABD8224A"/>
    <w:lvl w:ilvl="0" w:tplc="FFFFFFFF">
      <w:start w:val="1"/>
      <w:numFmt w:val="bullet"/>
      <w:lvlText w:val=""/>
      <w:lvlJc w:val="left"/>
      <w:pPr>
        <w:ind w:left="780" w:hanging="360"/>
      </w:pPr>
      <w:rPr>
        <w:rFonts w:ascii="Wingdings" w:hAnsi="Wingdings"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14" w15:restartNumberingAfterBreak="0">
    <w:nsid w:val="2A1C2D77"/>
    <w:multiLevelType w:val="hybridMultilevel"/>
    <w:tmpl w:val="E6501D14"/>
    <w:lvl w:ilvl="0" w:tplc="0813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8013596"/>
    <w:multiLevelType w:val="multilevel"/>
    <w:tmpl w:val="BF22FF0C"/>
    <w:lvl w:ilvl="0">
      <w:start w:val="1"/>
      <w:numFmt w:val="decimal"/>
      <w:lvlText w:val="BIJLAGE %1"/>
      <w:lvlJc w:val="left"/>
      <w:pPr>
        <w:ind w:left="360" w:hanging="360"/>
      </w:pPr>
      <w:rPr>
        <w:rFonts w:hint="default"/>
        <w:b/>
        <w:bCs w:val="0"/>
        <w:i w:val="0"/>
        <w:iCs w:val="0"/>
        <w:caps/>
        <w:smallCaps w:val="0"/>
        <w:strike w:val="0"/>
        <w:dstrike w:val="0"/>
        <w:vanish w:val="0"/>
        <w:color w:val="000000"/>
        <w:spacing w:val="0"/>
        <w:kern w:val="0"/>
        <w:position w:val="0"/>
        <w:u w:val="none"/>
        <w:effect w:val="none"/>
        <w:vertAlign w:val="baseline"/>
        <w:em w:val="none"/>
      </w:rPr>
    </w:lvl>
    <w:lvl w:ilvl="1">
      <w:start w:val="1"/>
      <w:numFmt w:val="decimal"/>
      <w:lvlText w:val="Article %2"/>
      <w:lvlJc w:val="left"/>
      <w:pPr>
        <w:ind w:left="851" w:hanging="851"/>
      </w:pPr>
      <w:rPr>
        <w:rFonts w:hint="default"/>
      </w:rPr>
    </w:lvl>
    <w:lvl w:ilvl="2">
      <w:start w:val="1"/>
      <w:numFmt w:val="decimal"/>
      <w:pStyle w:val="BijlageKop2"/>
      <w:lvlText w:val="%2.%3"/>
      <w:lvlJc w:val="left"/>
      <w:pPr>
        <w:ind w:left="851" w:hanging="851"/>
      </w:pPr>
      <w:rPr>
        <w:rFonts w:hint="default"/>
      </w:rPr>
    </w:lvl>
    <w:lvl w:ilvl="3">
      <w:start w:val="1"/>
      <w:numFmt w:val="decimal"/>
      <w:pStyle w:val="BijlageKop3"/>
      <w:lvlText w:val="%2.%3.%4"/>
      <w:lvlJc w:val="left"/>
      <w:pPr>
        <w:ind w:left="851" w:hanging="851"/>
      </w:pPr>
      <w:rPr>
        <w:rFonts w:hint="default"/>
      </w:rPr>
    </w:lvl>
    <w:lvl w:ilvl="4">
      <w:start w:val="1"/>
      <w:numFmt w:val="decimal"/>
      <w:pStyle w:val="BijlageKop4"/>
      <w:lvlText w:val="%2.%3.%4.%5"/>
      <w:lvlJc w:val="left"/>
      <w:pPr>
        <w:ind w:left="851" w:hanging="851"/>
      </w:pPr>
      <w:rPr>
        <w:rFonts w:hint="default"/>
        <w:b w:val="0"/>
        <w:i w:val="0"/>
        <w:iCs w:val="0"/>
        <w:caps w:val="0"/>
        <w:smallCaps w:val="0"/>
        <w:strike w:val="0"/>
        <w:dstrike w:val="0"/>
        <w:vanish w:val="0"/>
        <w:color w:val="000000"/>
        <w:kern w:val="0"/>
        <w:position w:val="0"/>
        <w:u w:val="none"/>
        <w:effect w:val="none"/>
        <w:vertAlign w:val="baseline"/>
        <w:em w:val="none"/>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39C57B19"/>
    <w:multiLevelType w:val="singleLevel"/>
    <w:tmpl w:val="CCEAA210"/>
    <w:lvl w:ilvl="0">
      <w:start w:val="1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CAF3F4C"/>
    <w:multiLevelType w:val="hybridMultilevel"/>
    <w:tmpl w:val="1CCC476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2BE420B"/>
    <w:multiLevelType w:val="hybridMultilevel"/>
    <w:tmpl w:val="A9C6983C"/>
    <w:lvl w:ilvl="0" w:tplc="FFFFFFFF">
      <w:start w:val="1"/>
      <w:numFmt w:val="bullet"/>
      <w:lvlText w:val=""/>
      <w:lvlJc w:val="left"/>
      <w:pPr>
        <w:tabs>
          <w:tab w:val="num" w:pos="3624"/>
        </w:tabs>
        <w:ind w:left="3624" w:hanging="360"/>
      </w:pPr>
      <w:rPr>
        <w:rFonts w:ascii="Wingdings" w:hAnsi="Wingdings" w:hint="default"/>
      </w:rPr>
    </w:lvl>
    <w:lvl w:ilvl="1" w:tplc="FFFFFFFF" w:tentative="1">
      <w:start w:val="1"/>
      <w:numFmt w:val="bullet"/>
      <w:lvlText w:val="o"/>
      <w:lvlJc w:val="left"/>
      <w:pPr>
        <w:tabs>
          <w:tab w:val="num" w:pos="4344"/>
        </w:tabs>
        <w:ind w:left="4344" w:hanging="360"/>
      </w:pPr>
      <w:rPr>
        <w:rFonts w:ascii="Courier New" w:hAnsi="Courier New" w:hint="default"/>
      </w:rPr>
    </w:lvl>
    <w:lvl w:ilvl="2" w:tplc="FFFFFFFF" w:tentative="1">
      <w:start w:val="1"/>
      <w:numFmt w:val="bullet"/>
      <w:lvlText w:val=""/>
      <w:lvlJc w:val="left"/>
      <w:pPr>
        <w:tabs>
          <w:tab w:val="num" w:pos="5064"/>
        </w:tabs>
        <w:ind w:left="5064" w:hanging="360"/>
      </w:pPr>
      <w:rPr>
        <w:rFonts w:ascii="Wingdings" w:hAnsi="Wingdings" w:hint="default"/>
      </w:rPr>
    </w:lvl>
    <w:lvl w:ilvl="3" w:tplc="FFFFFFFF" w:tentative="1">
      <w:start w:val="1"/>
      <w:numFmt w:val="bullet"/>
      <w:lvlText w:val=""/>
      <w:lvlJc w:val="left"/>
      <w:pPr>
        <w:tabs>
          <w:tab w:val="num" w:pos="5784"/>
        </w:tabs>
        <w:ind w:left="5784" w:hanging="360"/>
      </w:pPr>
      <w:rPr>
        <w:rFonts w:ascii="Symbol" w:hAnsi="Symbol" w:hint="default"/>
      </w:rPr>
    </w:lvl>
    <w:lvl w:ilvl="4" w:tplc="FFFFFFFF" w:tentative="1">
      <w:start w:val="1"/>
      <w:numFmt w:val="bullet"/>
      <w:lvlText w:val="o"/>
      <w:lvlJc w:val="left"/>
      <w:pPr>
        <w:tabs>
          <w:tab w:val="num" w:pos="6504"/>
        </w:tabs>
        <w:ind w:left="6504" w:hanging="360"/>
      </w:pPr>
      <w:rPr>
        <w:rFonts w:ascii="Courier New" w:hAnsi="Courier New" w:hint="default"/>
      </w:rPr>
    </w:lvl>
    <w:lvl w:ilvl="5" w:tplc="FFFFFFFF" w:tentative="1">
      <w:start w:val="1"/>
      <w:numFmt w:val="bullet"/>
      <w:lvlText w:val=""/>
      <w:lvlJc w:val="left"/>
      <w:pPr>
        <w:tabs>
          <w:tab w:val="num" w:pos="7224"/>
        </w:tabs>
        <w:ind w:left="7224" w:hanging="360"/>
      </w:pPr>
      <w:rPr>
        <w:rFonts w:ascii="Wingdings" w:hAnsi="Wingdings" w:hint="default"/>
      </w:rPr>
    </w:lvl>
    <w:lvl w:ilvl="6" w:tplc="FFFFFFFF" w:tentative="1">
      <w:start w:val="1"/>
      <w:numFmt w:val="bullet"/>
      <w:lvlText w:val=""/>
      <w:lvlJc w:val="left"/>
      <w:pPr>
        <w:tabs>
          <w:tab w:val="num" w:pos="7944"/>
        </w:tabs>
        <w:ind w:left="7944" w:hanging="360"/>
      </w:pPr>
      <w:rPr>
        <w:rFonts w:ascii="Symbol" w:hAnsi="Symbol" w:hint="default"/>
      </w:rPr>
    </w:lvl>
    <w:lvl w:ilvl="7" w:tplc="FFFFFFFF" w:tentative="1">
      <w:start w:val="1"/>
      <w:numFmt w:val="bullet"/>
      <w:lvlText w:val="o"/>
      <w:lvlJc w:val="left"/>
      <w:pPr>
        <w:tabs>
          <w:tab w:val="num" w:pos="8664"/>
        </w:tabs>
        <w:ind w:left="8664" w:hanging="360"/>
      </w:pPr>
      <w:rPr>
        <w:rFonts w:ascii="Courier New" w:hAnsi="Courier New" w:hint="default"/>
      </w:rPr>
    </w:lvl>
    <w:lvl w:ilvl="8" w:tplc="FFFFFFFF" w:tentative="1">
      <w:start w:val="1"/>
      <w:numFmt w:val="bullet"/>
      <w:lvlText w:val=""/>
      <w:lvlJc w:val="left"/>
      <w:pPr>
        <w:tabs>
          <w:tab w:val="num" w:pos="9384"/>
        </w:tabs>
        <w:ind w:left="9384" w:hanging="360"/>
      </w:pPr>
      <w:rPr>
        <w:rFonts w:ascii="Wingdings" w:hAnsi="Wingdings" w:hint="default"/>
      </w:rPr>
    </w:lvl>
  </w:abstractNum>
  <w:abstractNum w:abstractNumId="19" w15:restartNumberingAfterBreak="0">
    <w:nsid w:val="45D40788"/>
    <w:multiLevelType w:val="hybridMultilevel"/>
    <w:tmpl w:val="18E2EDE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60909DB"/>
    <w:multiLevelType w:val="multilevel"/>
    <w:tmpl w:val="52A4B9CE"/>
    <w:lvl w:ilvl="0">
      <w:start w:val="1"/>
      <w:numFmt w:val="decimal"/>
      <w:pStyle w:val="Nummering1"/>
      <w:lvlText w:val="%1."/>
      <w:lvlJc w:val="left"/>
      <w:pPr>
        <w:ind w:left="720" w:hanging="360"/>
      </w:pPr>
      <w:rPr>
        <w:rFonts w:hint="default"/>
      </w:rPr>
    </w:lvl>
    <w:lvl w:ilvl="1">
      <w:start w:val="1"/>
      <w:numFmt w:val="lowerLetter"/>
      <w:pStyle w:val="Nummering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5F1915"/>
    <w:multiLevelType w:val="multilevel"/>
    <w:tmpl w:val="5A2E10E8"/>
    <w:styleLink w:val="SDWorxBijlagen"/>
    <w:lvl w:ilvl="0">
      <w:start w:val="1"/>
      <w:numFmt w:val="decimal"/>
      <w:lvlText w:val="Bijlage %1"/>
      <w:lvlJc w:val="left"/>
      <w:pPr>
        <w:ind w:left="360" w:hanging="360"/>
      </w:pPr>
      <w:rPr>
        <w:rFonts w:ascii="Arial" w:hAnsi="Arial" w:hint="default"/>
        <w:b/>
        <w:bCs w:val="0"/>
        <w:i w:val="0"/>
        <w:iCs w:val="0"/>
        <w:caps/>
        <w:smallCaps w:val="0"/>
        <w:strike w:val="0"/>
        <w:dstrike w:val="0"/>
        <w:vanish w:val="0"/>
        <w:color w:val="000000"/>
        <w:spacing w:val="0"/>
        <w:kern w:val="0"/>
        <w:position w:val="0"/>
        <w:u w:val="none"/>
        <w:effect w:val="none"/>
        <w:vertAlign w:val="baseline"/>
        <w:em w:val="none"/>
      </w:rPr>
    </w:lvl>
    <w:lvl w:ilvl="1">
      <w:start w:val="1"/>
      <w:numFmt w:val="decimal"/>
      <w:lvlText w:val="Artikel %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b w:val="0"/>
        <w:i w:val="0"/>
        <w:iCs w:val="0"/>
        <w:caps w:val="0"/>
        <w:smallCaps w:val="0"/>
        <w:strike w:val="0"/>
        <w:dstrike w:val="0"/>
        <w:vanish w:val="0"/>
        <w:color w:val="000000"/>
        <w:kern w:val="0"/>
        <w:position w:val="0"/>
        <w:u w:val="none"/>
        <w:effect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FBA5E45"/>
    <w:multiLevelType w:val="hybridMultilevel"/>
    <w:tmpl w:val="359CF38E"/>
    <w:lvl w:ilvl="0" w:tplc="08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204D38"/>
    <w:multiLevelType w:val="hybridMultilevel"/>
    <w:tmpl w:val="3F0626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3C5762B"/>
    <w:multiLevelType w:val="hybridMultilevel"/>
    <w:tmpl w:val="68366BDA"/>
    <w:lvl w:ilvl="0" w:tplc="FFFFFFFF">
      <w:start w:val="1"/>
      <w:numFmt w:val="bullet"/>
      <w:lvlText w:val=""/>
      <w:lvlJc w:val="left"/>
      <w:pPr>
        <w:ind w:left="1068" w:hanging="360"/>
      </w:pPr>
      <w:rPr>
        <w:rFonts w:ascii="Wingdings" w:hAnsi="Wingdings"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5" w15:restartNumberingAfterBreak="0">
    <w:nsid w:val="548D73E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465FA0"/>
    <w:multiLevelType w:val="hybridMultilevel"/>
    <w:tmpl w:val="2CFE8A42"/>
    <w:lvl w:ilvl="0" w:tplc="D1BCBB54">
      <w:numFmt w:val="bullet"/>
      <w:lvlText w:val="-"/>
      <w:lvlJc w:val="left"/>
      <w:pPr>
        <w:ind w:left="644" w:hanging="360"/>
      </w:pPr>
      <w:rPr>
        <w:rFonts w:ascii="Arial" w:eastAsiaTheme="minorEastAsia" w:hAnsi="Arial"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7" w15:restartNumberingAfterBreak="0">
    <w:nsid w:val="5E06610F"/>
    <w:multiLevelType w:val="hybridMultilevel"/>
    <w:tmpl w:val="55423948"/>
    <w:lvl w:ilvl="0" w:tplc="ABB84FCA">
      <w:start w:val="1"/>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8" w15:restartNumberingAfterBreak="0">
    <w:nsid w:val="5E7747AF"/>
    <w:multiLevelType w:val="hybridMultilevel"/>
    <w:tmpl w:val="B8F2B170"/>
    <w:lvl w:ilvl="0" w:tplc="98B85372">
      <w:start w:val="1"/>
      <w:numFmt w:val="bullet"/>
      <w:pStyle w:val="NummeringCheck"/>
      <w:lvlText w:val=""/>
      <w:lvlJc w:val="left"/>
      <w:pPr>
        <w:ind w:left="720" w:hanging="360"/>
      </w:pPr>
      <w:rPr>
        <w:rFonts w:ascii="Wingdings 2" w:hAnsi="Wingdings 2"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2DF4B6F"/>
    <w:multiLevelType w:val="hybridMultilevel"/>
    <w:tmpl w:val="077684A8"/>
    <w:lvl w:ilvl="0" w:tplc="82D460CA">
      <w:start w:val="1"/>
      <w:numFmt w:val="decimal"/>
      <w:pStyle w:val="BijlageKop1"/>
      <w:lvlText w:val="Artikel %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49F61BC"/>
    <w:multiLevelType w:val="hybridMultilevel"/>
    <w:tmpl w:val="7E0E616E"/>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8372C41"/>
    <w:multiLevelType w:val="multilevel"/>
    <w:tmpl w:val="C592EF1A"/>
    <w:lvl w:ilvl="0">
      <w:start w:val="1"/>
      <w:numFmt w:val="decimal"/>
      <w:pStyle w:val="Heading1"/>
      <w:lvlText w:val="%1 | "/>
      <w:lvlJc w:val="left"/>
      <w:pPr>
        <w:ind w:left="851" w:hanging="851"/>
      </w:pPr>
      <w:rPr>
        <w:rFonts w:hint="default"/>
      </w:rPr>
    </w:lvl>
    <w:lvl w:ilvl="1">
      <w:start w:val="1"/>
      <w:numFmt w:val="decimal"/>
      <w:pStyle w:val="Heading2"/>
      <w:lvlText w:val="%1.%2 | "/>
      <w:lvlJc w:val="left"/>
      <w:pPr>
        <w:ind w:left="6664" w:hanging="851"/>
      </w:pPr>
      <w:rPr>
        <w:rFonts w:hint="default"/>
      </w:rPr>
    </w:lvl>
    <w:lvl w:ilvl="2">
      <w:start w:val="1"/>
      <w:numFmt w:val="decimal"/>
      <w:pStyle w:val="Heading3"/>
      <w:lvlText w:val="%1.%2.%3 | "/>
      <w:lvlJc w:val="left"/>
      <w:pPr>
        <w:ind w:left="964" w:hanging="964"/>
      </w:pPr>
      <w:rPr>
        <w:rFonts w:hint="default"/>
      </w:rPr>
    </w:lvl>
    <w:lvl w:ilvl="3">
      <w:start w:val="1"/>
      <w:numFmt w:val="decimal"/>
      <w:pStyle w:val="Heading4"/>
      <w:lvlText w:val="%1.%2.%3.%4 | "/>
      <w:lvlJc w:val="left"/>
      <w:pPr>
        <w:ind w:left="964" w:hanging="964"/>
      </w:pPr>
      <w:rPr>
        <w:rFonts w:hint="default"/>
      </w:rPr>
    </w:lvl>
    <w:lvl w:ilvl="4">
      <w:start w:val="1"/>
      <w:numFmt w:val="decimal"/>
      <w:lvlText w:val="%1.%2.%3.%4.%5 | "/>
      <w:lvlJc w:val="left"/>
      <w:pPr>
        <w:ind w:left="1191" w:hanging="1191"/>
      </w:pPr>
      <w:rPr>
        <w:rFonts w:hint="default"/>
      </w:rPr>
    </w:lvl>
    <w:lvl w:ilvl="5">
      <w:start w:val="1"/>
      <w:numFmt w:val="decimal"/>
      <w:lvlText w:val="%1.%2.%3.%4.%5.%6 | "/>
      <w:lvlJc w:val="left"/>
      <w:pPr>
        <w:ind w:left="1191" w:hanging="1191"/>
      </w:pPr>
      <w:rPr>
        <w:rFonts w:hint="default"/>
      </w:rPr>
    </w:lvl>
    <w:lvl w:ilvl="6">
      <w:start w:val="1"/>
      <w:numFmt w:val="decimal"/>
      <w:lvlText w:val="%1.%2.%3.%4.%5.%6.%7 | "/>
      <w:lvlJc w:val="left"/>
      <w:pPr>
        <w:ind w:left="1418" w:hanging="1418"/>
      </w:pPr>
      <w:rPr>
        <w:rFonts w:hint="default"/>
      </w:rPr>
    </w:lvl>
    <w:lvl w:ilvl="7">
      <w:start w:val="1"/>
      <w:numFmt w:val="decimal"/>
      <w:lvlText w:val="%1.%2.%3.%4.%5.%6.%7.%8 | "/>
      <w:lvlJc w:val="left"/>
      <w:pPr>
        <w:ind w:left="1418" w:hanging="1418"/>
      </w:pPr>
      <w:rPr>
        <w:rFonts w:hint="default"/>
      </w:rPr>
    </w:lvl>
    <w:lvl w:ilvl="8">
      <w:start w:val="1"/>
      <w:numFmt w:val="decimal"/>
      <w:lvlText w:val="%1.%2.%3.%4.%5.%6.%7.%8.%9 | "/>
      <w:lvlJc w:val="left"/>
      <w:pPr>
        <w:ind w:left="1701" w:hanging="1701"/>
      </w:pPr>
      <w:rPr>
        <w:rFonts w:hint="default"/>
      </w:rPr>
    </w:lvl>
  </w:abstractNum>
  <w:abstractNum w:abstractNumId="32" w15:restartNumberingAfterBreak="0">
    <w:nsid w:val="7A06042E"/>
    <w:multiLevelType w:val="hybridMultilevel"/>
    <w:tmpl w:val="15D26C1C"/>
    <w:lvl w:ilvl="0" w:tplc="FFFFFFFF">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C080CB2"/>
    <w:multiLevelType w:val="hybridMultilevel"/>
    <w:tmpl w:val="8884D4F6"/>
    <w:lvl w:ilvl="0" w:tplc="FFFFFFFF">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37733762">
    <w:abstractNumId w:val="9"/>
  </w:num>
  <w:num w:numId="2" w16cid:durableId="736509721">
    <w:abstractNumId w:val="0"/>
  </w:num>
  <w:num w:numId="3" w16cid:durableId="732897197">
    <w:abstractNumId w:val="31"/>
  </w:num>
  <w:num w:numId="4" w16cid:durableId="604726871">
    <w:abstractNumId w:val="31"/>
  </w:num>
  <w:num w:numId="5" w16cid:durableId="16346801">
    <w:abstractNumId w:val="19"/>
  </w:num>
  <w:num w:numId="6" w16cid:durableId="297801047">
    <w:abstractNumId w:val="20"/>
  </w:num>
  <w:num w:numId="7" w16cid:durableId="1948613238">
    <w:abstractNumId w:val="15"/>
  </w:num>
  <w:num w:numId="8" w16cid:durableId="1404640564">
    <w:abstractNumId w:val="11"/>
  </w:num>
  <w:num w:numId="9" w16cid:durableId="1121343418">
    <w:abstractNumId w:val="21"/>
  </w:num>
  <w:num w:numId="10" w16cid:durableId="1655140104">
    <w:abstractNumId w:val="7"/>
  </w:num>
  <w:num w:numId="11" w16cid:durableId="337928071">
    <w:abstractNumId w:val="28"/>
  </w:num>
  <w:num w:numId="12" w16cid:durableId="514805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6765948">
    <w:abstractNumId w:val="29"/>
  </w:num>
  <w:num w:numId="14" w16cid:durableId="1773627623">
    <w:abstractNumId w:val="16"/>
  </w:num>
  <w:num w:numId="15" w16cid:durableId="1848861786">
    <w:abstractNumId w:val="4"/>
  </w:num>
  <w:num w:numId="16" w16cid:durableId="93786451">
    <w:abstractNumId w:val="1"/>
  </w:num>
  <w:num w:numId="17" w16cid:durableId="1339387729">
    <w:abstractNumId w:val="18"/>
  </w:num>
  <w:num w:numId="18" w16cid:durableId="131410349">
    <w:abstractNumId w:val="24"/>
  </w:num>
  <w:num w:numId="19" w16cid:durableId="1399279278">
    <w:abstractNumId w:val="30"/>
  </w:num>
  <w:num w:numId="20" w16cid:durableId="787118798">
    <w:abstractNumId w:val="13"/>
  </w:num>
  <w:num w:numId="21" w16cid:durableId="628126445">
    <w:abstractNumId w:val="3"/>
  </w:num>
  <w:num w:numId="22" w16cid:durableId="603614884">
    <w:abstractNumId w:val="33"/>
  </w:num>
  <w:num w:numId="23" w16cid:durableId="1122115172">
    <w:abstractNumId w:val="25"/>
  </w:num>
  <w:num w:numId="24" w16cid:durableId="193420036">
    <w:abstractNumId w:val="17"/>
  </w:num>
  <w:num w:numId="25" w16cid:durableId="1757284475">
    <w:abstractNumId w:val="5"/>
  </w:num>
  <w:num w:numId="26" w16cid:durableId="130025544">
    <w:abstractNumId w:val="10"/>
  </w:num>
  <w:num w:numId="27" w16cid:durableId="1943369718">
    <w:abstractNumId w:val="32"/>
  </w:num>
  <w:num w:numId="28" w16cid:durableId="2114281164">
    <w:abstractNumId w:val="27"/>
  </w:num>
  <w:num w:numId="29" w16cid:durableId="1875998203">
    <w:abstractNumId w:val="2"/>
  </w:num>
  <w:num w:numId="30" w16cid:durableId="1544558211">
    <w:abstractNumId w:val="23"/>
  </w:num>
  <w:num w:numId="31" w16cid:durableId="874655587">
    <w:abstractNumId w:val="8"/>
  </w:num>
  <w:num w:numId="32" w16cid:durableId="258804593">
    <w:abstractNumId w:val="14"/>
  </w:num>
  <w:num w:numId="33" w16cid:durableId="1718428237">
    <w:abstractNumId w:val="6"/>
  </w:num>
  <w:num w:numId="34" w16cid:durableId="508643632">
    <w:abstractNumId w:val="26"/>
  </w:num>
  <w:num w:numId="35" w16cid:durableId="499154105">
    <w:abstractNumId w:val="12"/>
  </w:num>
  <w:num w:numId="36" w16cid:durableId="1144542040">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nl-BE" w:vendorID="64" w:dllVersion="0" w:nlCheck="1" w:checkStyle="0"/>
  <w:activeWritingStyle w:appName="MSWord" w:lang="fr-BE"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clickAndTypeStyle w:val="SDWorxbodytext"/>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11"/>
    <w:rsid w:val="000022A6"/>
    <w:rsid w:val="0001049B"/>
    <w:rsid w:val="000107E5"/>
    <w:rsid w:val="00010CA2"/>
    <w:rsid w:val="000148F8"/>
    <w:rsid w:val="00017EAD"/>
    <w:rsid w:val="000210B5"/>
    <w:rsid w:val="000210F8"/>
    <w:rsid w:val="0002129A"/>
    <w:rsid w:val="000240FC"/>
    <w:rsid w:val="0002638C"/>
    <w:rsid w:val="00030032"/>
    <w:rsid w:val="000308AF"/>
    <w:rsid w:val="00030AE4"/>
    <w:rsid w:val="00031131"/>
    <w:rsid w:val="000332CD"/>
    <w:rsid w:val="00033905"/>
    <w:rsid w:val="00034152"/>
    <w:rsid w:val="0003427A"/>
    <w:rsid w:val="00034B36"/>
    <w:rsid w:val="00035FC8"/>
    <w:rsid w:val="00036481"/>
    <w:rsid w:val="000374E8"/>
    <w:rsid w:val="00037C0F"/>
    <w:rsid w:val="00040083"/>
    <w:rsid w:val="0004216A"/>
    <w:rsid w:val="00045C39"/>
    <w:rsid w:val="00046531"/>
    <w:rsid w:val="00050B82"/>
    <w:rsid w:val="00051675"/>
    <w:rsid w:val="00051C5B"/>
    <w:rsid w:val="00053A8E"/>
    <w:rsid w:val="000613BE"/>
    <w:rsid w:val="00061957"/>
    <w:rsid w:val="00065DAF"/>
    <w:rsid w:val="000661CB"/>
    <w:rsid w:val="00066461"/>
    <w:rsid w:val="000728D4"/>
    <w:rsid w:val="0007290D"/>
    <w:rsid w:val="00074654"/>
    <w:rsid w:val="00077D61"/>
    <w:rsid w:val="000810FB"/>
    <w:rsid w:val="00081379"/>
    <w:rsid w:val="000832D0"/>
    <w:rsid w:val="000848C2"/>
    <w:rsid w:val="00085909"/>
    <w:rsid w:val="00085EE7"/>
    <w:rsid w:val="000864CD"/>
    <w:rsid w:val="00087FC9"/>
    <w:rsid w:val="00091377"/>
    <w:rsid w:val="000942D6"/>
    <w:rsid w:val="000A0F1B"/>
    <w:rsid w:val="000A169F"/>
    <w:rsid w:val="000A27D6"/>
    <w:rsid w:val="000A49B0"/>
    <w:rsid w:val="000A4B6F"/>
    <w:rsid w:val="000B28FC"/>
    <w:rsid w:val="000B378A"/>
    <w:rsid w:val="000B4AF7"/>
    <w:rsid w:val="000B5744"/>
    <w:rsid w:val="000B68E3"/>
    <w:rsid w:val="000B7DEF"/>
    <w:rsid w:val="000B7ECA"/>
    <w:rsid w:val="000C0160"/>
    <w:rsid w:val="000C0B10"/>
    <w:rsid w:val="000C2EDD"/>
    <w:rsid w:val="000C4998"/>
    <w:rsid w:val="000C4DD7"/>
    <w:rsid w:val="000C5381"/>
    <w:rsid w:val="000D0062"/>
    <w:rsid w:val="000D06A6"/>
    <w:rsid w:val="000D1212"/>
    <w:rsid w:val="000D3583"/>
    <w:rsid w:val="000D48A2"/>
    <w:rsid w:val="000D6655"/>
    <w:rsid w:val="000E1BD0"/>
    <w:rsid w:val="000E60AD"/>
    <w:rsid w:val="000E697B"/>
    <w:rsid w:val="000E6ABA"/>
    <w:rsid w:val="000E6DE0"/>
    <w:rsid w:val="000E6F83"/>
    <w:rsid w:val="000E70C8"/>
    <w:rsid w:val="000F009E"/>
    <w:rsid w:val="000F1844"/>
    <w:rsid w:val="000F30AA"/>
    <w:rsid w:val="000F3109"/>
    <w:rsid w:val="000F320F"/>
    <w:rsid w:val="000F3AF8"/>
    <w:rsid w:val="000F3BE4"/>
    <w:rsid w:val="000F5279"/>
    <w:rsid w:val="000F58F5"/>
    <w:rsid w:val="000F5A3A"/>
    <w:rsid w:val="00103910"/>
    <w:rsid w:val="0010687E"/>
    <w:rsid w:val="001103F5"/>
    <w:rsid w:val="00110AF4"/>
    <w:rsid w:val="0011352C"/>
    <w:rsid w:val="001142F5"/>
    <w:rsid w:val="00115402"/>
    <w:rsid w:val="00115E29"/>
    <w:rsid w:val="00117965"/>
    <w:rsid w:val="001204FF"/>
    <w:rsid w:val="00120855"/>
    <w:rsid w:val="001219F5"/>
    <w:rsid w:val="0012351F"/>
    <w:rsid w:val="00126534"/>
    <w:rsid w:val="001274CB"/>
    <w:rsid w:val="0013036C"/>
    <w:rsid w:val="001337AD"/>
    <w:rsid w:val="0013514D"/>
    <w:rsid w:val="00135F9D"/>
    <w:rsid w:val="00136E68"/>
    <w:rsid w:val="00136E88"/>
    <w:rsid w:val="001402BC"/>
    <w:rsid w:val="00140940"/>
    <w:rsid w:val="001420B5"/>
    <w:rsid w:val="001450BD"/>
    <w:rsid w:val="001509FE"/>
    <w:rsid w:val="0015180A"/>
    <w:rsid w:val="001526B5"/>
    <w:rsid w:val="0015322D"/>
    <w:rsid w:val="001542E8"/>
    <w:rsid w:val="00161180"/>
    <w:rsid w:val="001633B0"/>
    <w:rsid w:val="001634F8"/>
    <w:rsid w:val="00165200"/>
    <w:rsid w:val="001671CF"/>
    <w:rsid w:val="001674EB"/>
    <w:rsid w:val="001679DB"/>
    <w:rsid w:val="00167D14"/>
    <w:rsid w:val="00172986"/>
    <w:rsid w:val="00173F28"/>
    <w:rsid w:val="00173F64"/>
    <w:rsid w:val="00174352"/>
    <w:rsid w:val="00174386"/>
    <w:rsid w:val="00176511"/>
    <w:rsid w:val="00180024"/>
    <w:rsid w:val="00181665"/>
    <w:rsid w:val="00181F04"/>
    <w:rsid w:val="00182367"/>
    <w:rsid w:val="00182453"/>
    <w:rsid w:val="00183205"/>
    <w:rsid w:val="00183D34"/>
    <w:rsid w:val="00183E55"/>
    <w:rsid w:val="001864BD"/>
    <w:rsid w:val="00186A6E"/>
    <w:rsid w:val="00186D02"/>
    <w:rsid w:val="00186E80"/>
    <w:rsid w:val="00191C46"/>
    <w:rsid w:val="00192064"/>
    <w:rsid w:val="001924F3"/>
    <w:rsid w:val="001927BC"/>
    <w:rsid w:val="001943C0"/>
    <w:rsid w:val="0019590E"/>
    <w:rsid w:val="00195A92"/>
    <w:rsid w:val="001A1339"/>
    <w:rsid w:val="001A265F"/>
    <w:rsid w:val="001A4ECD"/>
    <w:rsid w:val="001A58BA"/>
    <w:rsid w:val="001A6C37"/>
    <w:rsid w:val="001B2673"/>
    <w:rsid w:val="001B5631"/>
    <w:rsid w:val="001B6AE4"/>
    <w:rsid w:val="001C1999"/>
    <w:rsid w:val="001C2589"/>
    <w:rsid w:val="001C3F1D"/>
    <w:rsid w:val="001C492B"/>
    <w:rsid w:val="001D2C8A"/>
    <w:rsid w:val="001D2CAF"/>
    <w:rsid w:val="001D4366"/>
    <w:rsid w:val="001D554D"/>
    <w:rsid w:val="001E0231"/>
    <w:rsid w:val="001E0437"/>
    <w:rsid w:val="001E0F17"/>
    <w:rsid w:val="001E3207"/>
    <w:rsid w:val="001E4EAB"/>
    <w:rsid w:val="001E5759"/>
    <w:rsid w:val="001E6711"/>
    <w:rsid w:val="001E7E75"/>
    <w:rsid w:val="001F1633"/>
    <w:rsid w:val="001F244E"/>
    <w:rsid w:val="001F2A65"/>
    <w:rsid w:val="001F3555"/>
    <w:rsid w:val="001F6649"/>
    <w:rsid w:val="001F761D"/>
    <w:rsid w:val="002016AE"/>
    <w:rsid w:val="002031FE"/>
    <w:rsid w:val="002034DB"/>
    <w:rsid w:val="0020495C"/>
    <w:rsid w:val="002062B5"/>
    <w:rsid w:val="002108B3"/>
    <w:rsid w:val="00211210"/>
    <w:rsid w:val="002112AB"/>
    <w:rsid w:val="00214158"/>
    <w:rsid w:val="00217BDB"/>
    <w:rsid w:val="002202C7"/>
    <w:rsid w:val="00220A89"/>
    <w:rsid w:val="002217FA"/>
    <w:rsid w:val="00221988"/>
    <w:rsid w:val="00223565"/>
    <w:rsid w:val="002237F2"/>
    <w:rsid w:val="0022411E"/>
    <w:rsid w:val="00227CF9"/>
    <w:rsid w:val="002336CC"/>
    <w:rsid w:val="00234ED1"/>
    <w:rsid w:val="00235062"/>
    <w:rsid w:val="002350FE"/>
    <w:rsid w:val="002403F6"/>
    <w:rsid w:val="00240B31"/>
    <w:rsid w:val="002419AE"/>
    <w:rsid w:val="00242CEB"/>
    <w:rsid w:val="002431F2"/>
    <w:rsid w:val="002431FE"/>
    <w:rsid w:val="00243653"/>
    <w:rsid w:val="00243E94"/>
    <w:rsid w:val="002452AB"/>
    <w:rsid w:val="00247A61"/>
    <w:rsid w:val="00247A70"/>
    <w:rsid w:val="00247C17"/>
    <w:rsid w:val="00252BE5"/>
    <w:rsid w:val="00254D7F"/>
    <w:rsid w:val="0025760E"/>
    <w:rsid w:val="00257800"/>
    <w:rsid w:val="00260D0E"/>
    <w:rsid w:val="002619AD"/>
    <w:rsid w:val="00263491"/>
    <w:rsid w:val="00263F9C"/>
    <w:rsid w:val="00265CEC"/>
    <w:rsid w:val="002737C8"/>
    <w:rsid w:val="002744C6"/>
    <w:rsid w:val="00276455"/>
    <w:rsid w:val="00281208"/>
    <w:rsid w:val="002825D0"/>
    <w:rsid w:val="00282A27"/>
    <w:rsid w:val="00283BF7"/>
    <w:rsid w:val="002844B5"/>
    <w:rsid w:val="0028453C"/>
    <w:rsid w:val="002855D2"/>
    <w:rsid w:val="00286E4F"/>
    <w:rsid w:val="00287F70"/>
    <w:rsid w:val="00290918"/>
    <w:rsid w:val="00291267"/>
    <w:rsid w:val="00294452"/>
    <w:rsid w:val="0029555B"/>
    <w:rsid w:val="002955A0"/>
    <w:rsid w:val="00295F19"/>
    <w:rsid w:val="002978B9"/>
    <w:rsid w:val="002A1EBD"/>
    <w:rsid w:val="002A284C"/>
    <w:rsid w:val="002A2851"/>
    <w:rsid w:val="002A2AB0"/>
    <w:rsid w:val="002A3B1F"/>
    <w:rsid w:val="002B1B84"/>
    <w:rsid w:val="002B3A95"/>
    <w:rsid w:val="002B58F3"/>
    <w:rsid w:val="002B5C67"/>
    <w:rsid w:val="002B5E56"/>
    <w:rsid w:val="002B697F"/>
    <w:rsid w:val="002C04A5"/>
    <w:rsid w:val="002C09B8"/>
    <w:rsid w:val="002C3424"/>
    <w:rsid w:val="002C3E71"/>
    <w:rsid w:val="002C5056"/>
    <w:rsid w:val="002C582F"/>
    <w:rsid w:val="002C72A9"/>
    <w:rsid w:val="002C7E16"/>
    <w:rsid w:val="002D115D"/>
    <w:rsid w:val="002D1DA0"/>
    <w:rsid w:val="002D1E88"/>
    <w:rsid w:val="002D3704"/>
    <w:rsid w:val="002D4524"/>
    <w:rsid w:val="002D45B9"/>
    <w:rsid w:val="002D4EF3"/>
    <w:rsid w:val="002D75EB"/>
    <w:rsid w:val="002D75FC"/>
    <w:rsid w:val="002D7AA2"/>
    <w:rsid w:val="002E07C4"/>
    <w:rsid w:val="002E17F2"/>
    <w:rsid w:val="002E5AB4"/>
    <w:rsid w:val="002E6BBA"/>
    <w:rsid w:val="002E726C"/>
    <w:rsid w:val="002F0C73"/>
    <w:rsid w:val="002F1666"/>
    <w:rsid w:val="002F47C3"/>
    <w:rsid w:val="002F562F"/>
    <w:rsid w:val="002F67AB"/>
    <w:rsid w:val="002F6AB1"/>
    <w:rsid w:val="002F6C80"/>
    <w:rsid w:val="002F7148"/>
    <w:rsid w:val="003004FE"/>
    <w:rsid w:val="003012F8"/>
    <w:rsid w:val="00303952"/>
    <w:rsid w:val="00304817"/>
    <w:rsid w:val="00304844"/>
    <w:rsid w:val="00305698"/>
    <w:rsid w:val="00306F4E"/>
    <w:rsid w:val="003073BB"/>
    <w:rsid w:val="003074DE"/>
    <w:rsid w:val="00307E4D"/>
    <w:rsid w:val="00313509"/>
    <w:rsid w:val="00313D67"/>
    <w:rsid w:val="00314C9D"/>
    <w:rsid w:val="0031578F"/>
    <w:rsid w:val="00321157"/>
    <w:rsid w:val="003246D7"/>
    <w:rsid w:val="00327483"/>
    <w:rsid w:val="00327681"/>
    <w:rsid w:val="003326A7"/>
    <w:rsid w:val="00332A42"/>
    <w:rsid w:val="00333F76"/>
    <w:rsid w:val="00333F94"/>
    <w:rsid w:val="00334814"/>
    <w:rsid w:val="00334C2B"/>
    <w:rsid w:val="00334F55"/>
    <w:rsid w:val="00337591"/>
    <w:rsid w:val="0034114A"/>
    <w:rsid w:val="00341170"/>
    <w:rsid w:val="0034266A"/>
    <w:rsid w:val="00342929"/>
    <w:rsid w:val="00342CF9"/>
    <w:rsid w:val="00343091"/>
    <w:rsid w:val="00351B1A"/>
    <w:rsid w:val="00351D8F"/>
    <w:rsid w:val="0035221C"/>
    <w:rsid w:val="003529A6"/>
    <w:rsid w:val="003536F7"/>
    <w:rsid w:val="003538F7"/>
    <w:rsid w:val="00353AAA"/>
    <w:rsid w:val="00353AAB"/>
    <w:rsid w:val="003553F5"/>
    <w:rsid w:val="00355A5D"/>
    <w:rsid w:val="003571B7"/>
    <w:rsid w:val="00357292"/>
    <w:rsid w:val="003635FD"/>
    <w:rsid w:val="003657CB"/>
    <w:rsid w:val="00367773"/>
    <w:rsid w:val="003677C9"/>
    <w:rsid w:val="00367A81"/>
    <w:rsid w:val="00367B4E"/>
    <w:rsid w:val="00370281"/>
    <w:rsid w:val="003714BB"/>
    <w:rsid w:val="0037339D"/>
    <w:rsid w:val="00375158"/>
    <w:rsid w:val="00375378"/>
    <w:rsid w:val="003762EB"/>
    <w:rsid w:val="003768F4"/>
    <w:rsid w:val="00380D7B"/>
    <w:rsid w:val="00381110"/>
    <w:rsid w:val="00381184"/>
    <w:rsid w:val="003818C6"/>
    <w:rsid w:val="0038545B"/>
    <w:rsid w:val="00385F88"/>
    <w:rsid w:val="00391381"/>
    <w:rsid w:val="00391C5D"/>
    <w:rsid w:val="00392224"/>
    <w:rsid w:val="0039241D"/>
    <w:rsid w:val="00393F75"/>
    <w:rsid w:val="00395535"/>
    <w:rsid w:val="00397878"/>
    <w:rsid w:val="00397BCC"/>
    <w:rsid w:val="003A07AE"/>
    <w:rsid w:val="003A12CD"/>
    <w:rsid w:val="003A270B"/>
    <w:rsid w:val="003A277C"/>
    <w:rsid w:val="003A2800"/>
    <w:rsid w:val="003A28A3"/>
    <w:rsid w:val="003A2D92"/>
    <w:rsid w:val="003A7225"/>
    <w:rsid w:val="003A7425"/>
    <w:rsid w:val="003A7632"/>
    <w:rsid w:val="003B0223"/>
    <w:rsid w:val="003B0E03"/>
    <w:rsid w:val="003B134A"/>
    <w:rsid w:val="003B1AAF"/>
    <w:rsid w:val="003B2537"/>
    <w:rsid w:val="003B2D55"/>
    <w:rsid w:val="003B3FD1"/>
    <w:rsid w:val="003B4C3D"/>
    <w:rsid w:val="003B5DBD"/>
    <w:rsid w:val="003B69C2"/>
    <w:rsid w:val="003B7895"/>
    <w:rsid w:val="003C0BED"/>
    <w:rsid w:val="003C2904"/>
    <w:rsid w:val="003C397D"/>
    <w:rsid w:val="003C4BE8"/>
    <w:rsid w:val="003C71B6"/>
    <w:rsid w:val="003C79D7"/>
    <w:rsid w:val="003D0258"/>
    <w:rsid w:val="003D0BDD"/>
    <w:rsid w:val="003D10F9"/>
    <w:rsid w:val="003D1A1E"/>
    <w:rsid w:val="003D28C2"/>
    <w:rsid w:val="003D2CFA"/>
    <w:rsid w:val="003D2EA6"/>
    <w:rsid w:val="003D41EC"/>
    <w:rsid w:val="003D4226"/>
    <w:rsid w:val="003D48C2"/>
    <w:rsid w:val="003D7252"/>
    <w:rsid w:val="003D768C"/>
    <w:rsid w:val="003E2DAE"/>
    <w:rsid w:val="003E7D2D"/>
    <w:rsid w:val="003F14F2"/>
    <w:rsid w:val="003F206B"/>
    <w:rsid w:val="003F3397"/>
    <w:rsid w:val="003F3B39"/>
    <w:rsid w:val="00401561"/>
    <w:rsid w:val="00403C2B"/>
    <w:rsid w:val="004106E8"/>
    <w:rsid w:val="004112FB"/>
    <w:rsid w:val="004119C2"/>
    <w:rsid w:val="0041614F"/>
    <w:rsid w:val="004164B1"/>
    <w:rsid w:val="0042150B"/>
    <w:rsid w:val="00421899"/>
    <w:rsid w:val="00422C07"/>
    <w:rsid w:val="00425534"/>
    <w:rsid w:val="004274EE"/>
    <w:rsid w:val="00427701"/>
    <w:rsid w:val="00433092"/>
    <w:rsid w:val="004341F4"/>
    <w:rsid w:val="004346E0"/>
    <w:rsid w:val="00435E7C"/>
    <w:rsid w:val="00437152"/>
    <w:rsid w:val="0044072A"/>
    <w:rsid w:val="00441724"/>
    <w:rsid w:val="004424B1"/>
    <w:rsid w:val="00442863"/>
    <w:rsid w:val="00442BCA"/>
    <w:rsid w:val="004444B0"/>
    <w:rsid w:val="00445F9D"/>
    <w:rsid w:val="00446DBA"/>
    <w:rsid w:val="00452405"/>
    <w:rsid w:val="00452E47"/>
    <w:rsid w:val="00455982"/>
    <w:rsid w:val="004567BF"/>
    <w:rsid w:val="00456E6D"/>
    <w:rsid w:val="00460852"/>
    <w:rsid w:val="00461726"/>
    <w:rsid w:val="00462CAC"/>
    <w:rsid w:val="00462EE7"/>
    <w:rsid w:val="00463789"/>
    <w:rsid w:val="0046748C"/>
    <w:rsid w:val="00474D8A"/>
    <w:rsid w:val="0047603D"/>
    <w:rsid w:val="00480EE4"/>
    <w:rsid w:val="00481827"/>
    <w:rsid w:val="0048196D"/>
    <w:rsid w:val="00485D31"/>
    <w:rsid w:val="00486C5C"/>
    <w:rsid w:val="00486CE0"/>
    <w:rsid w:val="00490F2C"/>
    <w:rsid w:val="00492924"/>
    <w:rsid w:val="004930D7"/>
    <w:rsid w:val="0049498A"/>
    <w:rsid w:val="004959F5"/>
    <w:rsid w:val="00495E45"/>
    <w:rsid w:val="00495EE6"/>
    <w:rsid w:val="004A2E45"/>
    <w:rsid w:val="004A326F"/>
    <w:rsid w:val="004A55E4"/>
    <w:rsid w:val="004A7333"/>
    <w:rsid w:val="004A76CB"/>
    <w:rsid w:val="004A7D2E"/>
    <w:rsid w:val="004B0522"/>
    <w:rsid w:val="004B16A4"/>
    <w:rsid w:val="004B1C80"/>
    <w:rsid w:val="004B4BA6"/>
    <w:rsid w:val="004B54BD"/>
    <w:rsid w:val="004B6893"/>
    <w:rsid w:val="004B7527"/>
    <w:rsid w:val="004C0C98"/>
    <w:rsid w:val="004C44D6"/>
    <w:rsid w:val="004C5318"/>
    <w:rsid w:val="004C5AE4"/>
    <w:rsid w:val="004C5F7C"/>
    <w:rsid w:val="004C605C"/>
    <w:rsid w:val="004C76A8"/>
    <w:rsid w:val="004D527B"/>
    <w:rsid w:val="004D585D"/>
    <w:rsid w:val="004D7373"/>
    <w:rsid w:val="004E0B1F"/>
    <w:rsid w:val="004E1087"/>
    <w:rsid w:val="004E232B"/>
    <w:rsid w:val="004E474C"/>
    <w:rsid w:val="004E4FAA"/>
    <w:rsid w:val="004E5287"/>
    <w:rsid w:val="004E5349"/>
    <w:rsid w:val="004E7CD1"/>
    <w:rsid w:val="004F0209"/>
    <w:rsid w:val="004F0F7F"/>
    <w:rsid w:val="004F10FD"/>
    <w:rsid w:val="004F1293"/>
    <w:rsid w:val="004F46BC"/>
    <w:rsid w:val="004F5514"/>
    <w:rsid w:val="004F5CFD"/>
    <w:rsid w:val="004F6423"/>
    <w:rsid w:val="004F750D"/>
    <w:rsid w:val="004F7F76"/>
    <w:rsid w:val="00501BC8"/>
    <w:rsid w:val="00503287"/>
    <w:rsid w:val="00504F96"/>
    <w:rsid w:val="00505456"/>
    <w:rsid w:val="00505876"/>
    <w:rsid w:val="00505A24"/>
    <w:rsid w:val="00510C89"/>
    <w:rsid w:val="00511907"/>
    <w:rsid w:val="005127D3"/>
    <w:rsid w:val="0051484F"/>
    <w:rsid w:val="005168C0"/>
    <w:rsid w:val="00517068"/>
    <w:rsid w:val="00517516"/>
    <w:rsid w:val="005214E9"/>
    <w:rsid w:val="00522F46"/>
    <w:rsid w:val="00524E98"/>
    <w:rsid w:val="00526E16"/>
    <w:rsid w:val="0053269C"/>
    <w:rsid w:val="00536F99"/>
    <w:rsid w:val="00540C18"/>
    <w:rsid w:val="00542377"/>
    <w:rsid w:val="005439DC"/>
    <w:rsid w:val="0054490B"/>
    <w:rsid w:val="00546745"/>
    <w:rsid w:val="0055037F"/>
    <w:rsid w:val="00551691"/>
    <w:rsid w:val="00552797"/>
    <w:rsid w:val="00553052"/>
    <w:rsid w:val="00555B83"/>
    <w:rsid w:val="00555CF7"/>
    <w:rsid w:val="00561338"/>
    <w:rsid w:val="00561964"/>
    <w:rsid w:val="00561A89"/>
    <w:rsid w:val="00561AC4"/>
    <w:rsid w:val="00561B22"/>
    <w:rsid w:val="00563011"/>
    <w:rsid w:val="005639F6"/>
    <w:rsid w:val="005645DD"/>
    <w:rsid w:val="00564C84"/>
    <w:rsid w:val="005651CC"/>
    <w:rsid w:val="00565481"/>
    <w:rsid w:val="00565C81"/>
    <w:rsid w:val="005700FD"/>
    <w:rsid w:val="00571ABC"/>
    <w:rsid w:val="0057497E"/>
    <w:rsid w:val="00583803"/>
    <w:rsid w:val="00583FC2"/>
    <w:rsid w:val="00587CB2"/>
    <w:rsid w:val="00590449"/>
    <w:rsid w:val="00590E06"/>
    <w:rsid w:val="00594489"/>
    <w:rsid w:val="00594B54"/>
    <w:rsid w:val="00595597"/>
    <w:rsid w:val="00597232"/>
    <w:rsid w:val="005A18FF"/>
    <w:rsid w:val="005A4A8E"/>
    <w:rsid w:val="005A7770"/>
    <w:rsid w:val="005B18C6"/>
    <w:rsid w:val="005B25D8"/>
    <w:rsid w:val="005B3B61"/>
    <w:rsid w:val="005B48A0"/>
    <w:rsid w:val="005B4B7B"/>
    <w:rsid w:val="005B65AB"/>
    <w:rsid w:val="005B7BBE"/>
    <w:rsid w:val="005C2140"/>
    <w:rsid w:val="005C4F83"/>
    <w:rsid w:val="005C7053"/>
    <w:rsid w:val="005C751C"/>
    <w:rsid w:val="005D028F"/>
    <w:rsid w:val="005D1C24"/>
    <w:rsid w:val="005D2207"/>
    <w:rsid w:val="005D2D84"/>
    <w:rsid w:val="005D3023"/>
    <w:rsid w:val="005D36AD"/>
    <w:rsid w:val="005D44AC"/>
    <w:rsid w:val="005D6B22"/>
    <w:rsid w:val="005E02FA"/>
    <w:rsid w:val="005E2EF6"/>
    <w:rsid w:val="005E3E90"/>
    <w:rsid w:val="005E4261"/>
    <w:rsid w:val="005E4EF0"/>
    <w:rsid w:val="005E4FDA"/>
    <w:rsid w:val="005E605F"/>
    <w:rsid w:val="005E6616"/>
    <w:rsid w:val="005F0AB2"/>
    <w:rsid w:val="005F1146"/>
    <w:rsid w:val="005F1475"/>
    <w:rsid w:val="005F2547"/>
    <w:rsid w:val="005F274C"/>
    <w:rsid w:val="005F2FAB"/>
    <w:rsid w:val="005F30A0"/>
    <w:rsid w:val="005F38B3"/>
    <w:rsid w:val="0060164B"/>
    <w:rsid w:val="00601853"/>
    <w:rsid w:val="0060202F"/>
    <w:rsid w:val="00603C69"/>
    <w:rsid w:val="00606437"/>
    <w:rsid w:val="00606D34"/>
    <w:rsid w:val="0061268A"/>
    <w:rsid w:val="00613EE6"/>
    <w:rsid w:val="00615F60"/>
    <w:rsid w:val="0061780A"/>
    <w:rsid w:val="00620A5C"/>
    <w:rsid w:val="00623FEE"/>
    <w:rsid w:val="0062428B"/>
    <w:rsid w:val="00625225"/>
    <w:rsid w:val="0062657E"/>
    <w:rsid w:val="00626D8E"/>
    <w:rsid w:val="00634BB8"/>
    <w:rsid w:val="00634E8F"/>
    <w:rsid w:val="00637E61"/>
    <w:rsid w:val="00642DC7"/>
    <w:rsid w:val="00643C74"/>
    <w:rsid w:val="00643C9C"/>
    <w:rsid w:val="006450E9"/>
    <w:rsid w:val="006455F5"/>
    <w:rsid w:val="00645BD1"/>
    <w:rsid w:val="00650864"/>
    <w:rsid w:val="00652413"/>
    <w:rsid w:val="00657CFA"/>
    <w:rsid w:val="00660004"/>
    <w:rsid w:val="00661D63"/>
    <w:rsid w:val="0066360F"/>
    <w:rsid w:val="00664383"/>
    <w:rsid w:val="00665312"/>
    <w:rsid w:val="00667896"/>
    <w:rsid w:val="006706D7"/>
    <w:rsid w:val="00671553"/>
    <w:rsid w:val="00673207"/>
    <w:rsid w:val="00673B1B"/>
    <w:rsid w:val="0067403A"/>
    <w:rsid w:val="00675AA0"/>
    <w:rsid w:val="006810AD"/>
    <w:rsid w:val="00681E33"/>
    <w:rsid w:val="00683541"/>
    <w:rsid w:val="006839A3"/>
    <w:rsid w:val="00683F92"/>
    <w:rsid w:val="0068544E"/>
    <w:rsid w:val="00686407"/>
    <w:rsid w:val="00692C42"/>
    <w:rsid w:val="00697538"/>
    <w:rsid w:val="006A00FB"/>
    <w:rsid w:val="006A257B"/>
    <w:rsid w:val="006A59FF"/>
    <w:rsid w:val="006A6018"/>
    <w:rsid w:val="006A6253"/>
    <w:rsid w:val="006B2F6A"/>
    <w:rsid w:val="006B3646"/>
    <w:rsid w:val="006B3870"/>
    <w:rsid w:val="006B3B1B"/>
    <w:rsid w:val="006B4D3C"/>
    <w:rsid w:val="006C10B6"/>
    <w:rsid w:val="006C1395"/>
    <w:rsid w:val="006C15B9"/>
    <w:rsid w:val="006C38E4"/>
    <w:rsid w:val="006C3C4F"/>
    <w:rsid w:val="006C5711"/>
    <w:rsid w:val="006C6314"/>
    <w:rsid w:val="006C68AC"/>
    <w:rsid w:val="006D0578"/>
    <w:rsid w:val="006D3EB7"/>
    <w:rsid w:val="006D5107"/>
    <w:rsid w:val="006D5BBA"/>
    <w:rsid w:val="006D6B10"/>
    <w:rsid w:val="006D74F3"/>
    <w:rsid w:val="006E4A95"/>
    <w:rsid w:val="006E561B"/>
    <w:rsid w:val="006E5988"/>
    <w:rsid w:val="006E6235"/>
    <w:rsid w:val="006E7A01"/>
    <w:rsid w:val="006F1BC1"/>
    <w:rsid w:val="006F302D"/>
    <w:rsid w:val="006F4143"/>
    <w:rsid w:val="006F52B7"/>
    <w:rsid w:val="006F62A4"/>
    <w:rsid w:val="006F7AF3"/>
    <w:rsid w:val="0070079D"/>
    <w:rsid w:val="00701FC2"/>
    <w:rsid w:val="00702687"/>
    <w:rsid w:val="00704242"/>
    <w:rsid w:val="0071020A"/>
    <w:rsid w:val="007131C8"/>
    <w:rsid w:val="00713C1A"/>
    <w:rsid w:val="00716752"/>
    <w:rsid w:val="00716961"/>
    <w:rsid w:val="00716EB6"/>
    <w:rsid w:val="00716ED1"/>
    <w:rsid w:val="007213E8"/>
    <w:rsid w:val="0072412A"/>
    <w:rsid w:val="00730CD3"/>
    <w:rsid w:val="00731152"/>
    <w:rsid w:val="0073130D"/>
    <w:rsid w:val="007316B6"/>
    <w:rsid w:val="00733FDE"/>
    <w:rsid w:val="00734C29"/>
    <w:rsid w:val="00735231"/>
    <w:rsid w:val="00735BA4"/>
    <w:rsid w:val="0074232D"/>
    <w:rsid w:val="00743429"/>
    <w:rsid w:val="007442BD"/>
    <w:rsid w:val="00744727"/>
    <w:rsid w:val="00745507"/>
    <w:rsid w:val="007507EB"/>
    <w:rsid w:val="00750D4F"/>
    <w:rsid w:val="0075146E"/>
    <w:rsid w:val="00752A7A"/>
    <w:rsid w:val="0075542A"/>
    <w:rsid w:val="007627EE"/>
    <w:rsid w:val="007648E9"/>
    <w:rsid w:val="007662F8"/>
    <w:rsid w:val="00766420"/>
    <w:rsid w:val="00766DF6"/>
    <w:rsid w:val="00771D3F"/>
    <w:rsid w:val="00775E5D"/>
    <w:rsid w:val="00777BE6"/>
    <w:rsid w:val="007826F4"/>
    <w:rsid w:val="00782777"/>
    <w:rsid w:val="00784C48"/>
    <w:rsid w:val="00785691"/>
    <w:rsid w:val="007862D1"/>
    <w:rsid w:val="00787A9F"/>
    <w:rsid w:val="00787B08"/>
    <w:rsid w:val="0079012D"/>
    <w:rsid w:val="0079024F"/>
    <w:rsid w:val="0079091F"/>
    <w:rsid w:val="0079163B"/>
    <w:rsid w:val="0079280B"/>
    <w:rsid w:val="00794715"/>
    <w:rsid w:val="00795B45"/>
    <w:rsid w:val="00796206"/>
    <w:rsid w:val="00797741"/>
    <w:rsid w:val="007A0832"/>
    <w:rsid w:val="007A2768"/>
    <w:rsid w:val="007A331C"/>
    <w:rsid w:val="007A539F"/>
    <w:rsid w:val="007B0402"/>
    <w:rsid w:val="007B09D5"/>
    <w:rsid w:val="007B1514"/>
    <w:rsid w:val="007B39CF"/>
    <w:rsid w:val="007B7A4F"/>
    <w:rsid w:val="007C03AD"/>
    <w:rsid w:val="007C4636"/>
    <w:rsid w:val="007C4C95"/>
    <w:rsid w:val="007C656C"/>
    <w:rsid w:val="007C675D"/>
    <w:rsid w:val="007D0455"/>
    <w:rsid w:val="007D0909"/>
    <w:rsid w:val="007D13AA"/>
    <w:rsid w:val="007D4082"/>
    <w:rsid w:val="007D622C"/>
    <w:rsid w:val="007E0F44"/>
    <w:rsid w:val="007E49A2"/>
    <w:rsid w:val="007E5B99"/>
    <w:rsid w:val="007E687F"/>
    <w:rsid w:val="007E6C74"/>
    <w:rsid w:val="007E7B1F"/>
    <w:rsid w:val="007F1BF6"/>
    <w:rsid w:val="007F21F3"/>
    <w:rsid w:val="007F2F8A"/>
    <w:rsid w:val="007F7C55"/>
    <w:rsid w:val="008004F3"/>
    <w:rsid w:val="00800743"/>
    <w:rsid w:val="00801413"/>
    <w:rsid w:val="00801A40"/>
    <w:rsid w:val="008021CA"/>
    <w:rsid w:val="00802952"/>
    <w:rsid w:val="00802A9C"/>
    <w:rsid w:val="00804152"/>
    <w:rsid w:val="00804770"/>
    <w:rsid w:val="008066D3"/>
    <w:rsid w:val="00806774"/>
    <w:rsid w:val="008069B0"/>
    <w:rsid w:val="00806C2C"/>
    <w:rsid w:val="00806E29"/>
    <w:rsid w:val="008104AD"/>
    <w:rsid w:val="00810D17"/>
    <w:rsid w:val="0081130F"/>
    <w:rsid w:val="008157DD"/>
    <w:rsid w:val="008164DD"/>
    <w:rsid w:val="00820499"/>
    <w:rsid w:val="0082276E"/>
    <w:rsid w:val="00822F9B"/>
    <w:rsid w:val="00834A55"/>
    <w:rsid w:val="00837A51"/>
    <w:rsid w:val="00840A12"/>
    <w:rsid w:val="00841226"/>
    <w:rsid w:val="0084313E"/>
    <w:rsid w:val="00845970"/>
    <w:rsid w:val="008459C5"/>
    <w:rsid w:val="00850384"/>
    <w:rsid w:val="00851990"/>
    <w:rsid w:val="008545F9"/>
    <w:rsid w:val="00857A3F"/>
    <w:rsid w:val="00862C59"/>
    <w:rsid w:val="0086776A"/>
    <w:rsid w:val="00870B41"/>
    <w:rsid w:val="00871CEE"/>
    <w:rsid w:val="008725C6"/>
    <w:rsid w:val="00874929"/>
    <w:rsid w:val="0087640C"/>
    <w:rsid w:val="00876A07"/>
    <w:rsid w:val="00882FFE"/>
    <w:rsid w:val="00883C59"/>
    <w:rsid w:val="00884526"/>
    <w:rsid w:val="00884CED"/>
    <w:rsid w:val="008904D7"/>
    <w:rsid w:val="008912DB"/>
    <w:rsid w:val="008917F2"/>
    <w:rsid w:val="00891CFB"/>
    <w:rsid w:val="00893DEC"/>
    <w:rsid w:val="00894395"/>
    <w:rsid w:val="00895D75"/>
    <w:rsid w:val="00897A1A"/>
    <w:rsid w:val="008A0790"/>
    <w:rsid w:val="008A25F5"/>
    <w:rsid w:val="008A539F"/>
    <w:rsid w:val="008A7A3B"/>
    <w:rsid w:val="008A7BD6"/>
    <w:rsid w:val="008B1F00"/>
    <w:rsid w:val="008B23E3"/>
    <w:rsid w:val="008B321D"/>
    <w:rsid w:val="008C02E5"/>
    <w:rsid w:val="008C0E84"/>
    <w:rsid w:val="008C12FF"/>
    <w:rsid w:val="008C143E"/>
    <w:rsid w:val="008C2916"/>
    <w:rsid w:val="008C549B"/>
    <w:rsid w:val="008C59D6"/>
    <w:rsid w:val="008C59DD"/>
    <w:rsid w:val="008C5B9C"/>
    <w:rsid w:val="008C73B7"/>
    <w:rsid w:val="008C7C06"/>
    <w:rsid w:val="008D2BE7"/>
    <w:rsid w:val="008D2D99"/>
    <w:rsid w:val="008D45A7"/>
    <w:rsid w:val="008D573A"/>
    <w:rsid w:val="008D6AED"/>
    <w:rsid w:val="008E0351"/>
    <w:rsid w:val="008E1584"/>
    <w:rsid w:val="008E51FC"/>
    <w:rsid w:val="008E5478"/>
    <w:rsid w:val="008E574A"/>
    <w:rsid w:val="008E712C"/>
    <w:rsid w:val="008F11CF"/>
    <w:rsid w:val="008F2C2C"/>
    <w:rsid w:val="008F44F8"/>
    <w:rsid w:val="008F7E27"/>
    <w:rsid w:val="00900F3F"/>
    <w:rsid w:val="00902FDA"/>
    <w:rsid w:val="00903318"/>
    <w:rsid w:val="00903684"/>
    <w:rsid w:val="00903925"/>
    <w:rsid w:val="0090415E"/>
    <w:rsid w:val="00905F9E"/>
    <w:rsid w:val="0090638D"/>
    <w:rsid w:val="00907F7D"/>
    <w:rsid w:val="00914EE8"/>
    <w:rsid w:val="00915E2C"/>
    <w:rsid w:val="009164B1"/>
    <w:rsid w:val="00917F5A"/>
    <w:rsid w:val="009217BB"/>
    <w:rsid w:val="0092288D"/>
    <w:rsid w:val="00923535"/>
    <w:rsid w:val="00925235"/>
    <w:rsid w:val="00931F6F"/>
    <w:rsid w:val="009324F0"/>
    <w:rsid w:val="00932E95"/>
    <w:rsid w:val="0093342F"/>
    <w:rsid w:val="00934CAD"/>
    <w:rsid w:val="00934F08"/>
    <w:rsid w:val="009357B7"/>
    <w:rsid w:val="0093703A"/>
    <w:rsid w:val="00941CC7"/>
    <w:rsid w:val="009423B9"/>
    <w:rsid w:val="00942746"/>
    <w:rsid w:val="00951B33"/>
    <w:rsid w:val="0095338D"/>
    <w:rsid w:val="00953DB7"/>
    <w:rsid w:val="00956ADD"/>
    <w:rsid w:val="00957507"/>
    <w:rsid w:val="00957F20"/>
    <w:rsid w:val="00960583"/>
    <w:rsid w:val="009630D3"/>
    <w:rsid w:val="00964E0F"/>
    <w:rsid w:val="00967137"/>
    <w:rsid w:val="00967347"/>
    <w:rsid w:val="00967B8A"/>
    <w:rsid w:val="00967D41"/>
    <w:rsid w:val="00967FB6"/>
    <w:rsid w:val="0097048A"/>
    <w:rsid w:val="00970EAF"/>
    <w:rsid w:val="0097189B"/>
    <w:rsid w:val="00972009"/>
    <w:rsid w:val="009722F1"/>
    <w:rsid w:val="009731A2"/>
    <w:rsid w:val="00973E0B"/>
    <w:rsid w:val="00974002"/>
    <w:rsid w:val="00974208"/>
    <w:rsid w:val="0097676E"/>
    <w:rsid w:val="00980FD5"/>
    <w:rsid w:val="0098167B"/>
    <w:rsid w:val="00983F09"/>
    <w:rsid w:val="009854D1"/>
    <w:rsid w:val="00985745"/>
    <w:rsid w:val="00986A83"/>
    <w:rsid w:val="009873A3"/>
    <w:rsid w:val="0098748C"/>
    <w:rsid w:val="00987BF5"/>
    <w:rsid w:val="009902D1"/>
    <w:rsid w:val="00991E7E"/>
    <w:rsid w:val="00992768"/>
    <w:rsid w:val="00992C74"/>
    <w:rsid w:val="0099300C"/>
    <w:rsid w:val="009939C0"/>
    <w:rsid w:val="009959A9"/>
    <w:rsid w:val="009A03F6"/>
    <w:rsid w:val="009A0A8D"/>
    <w:rsid w:val="009A0F55"/>
    <w:rsid w:val="009A140C"/>
    <w:rsid w:val="009A2293"/>
    <w:rsid w:val="009A28BD"/>
    <w:rsid w:val="009A29CA"/>
    <w:rsid w:val="009A3455"/>
    <w:rsid w:val="009A6545"/>
    <w:rsid w:val="009B5885"/>
    <w:rsid w:val="009B7049"/>
    <w:rsid w:val="009C041F"/>
    <w:rsid w:val="009C1CA3"/>
    <w:rsid w:val="009C3088"/>
    <w:rsid w:val="009C4345"/>
    <w:rsid w:val="009C5625"/>
    <w:rsid w:val="009C58F1"/>
    <w:rsid w:val="009C6359"/>
    <w:rsid w:val="009C69B7"/>
    <w:rsid w:val="009C7A69"/>
    <w:rsid w:val="009D2CC8"/>
    <w:rsid w:val="009D45E9"/>
    <w:rsid w:val="009D6BE3"/>
    <w:rsid w:val="009E08D2"/>
    <w:rsid w:val="009E1987"/>
    <w:rsid w:val="009E27DC"/>
    <w:rsid w:val="009E2F80"/>
    <w:rsid w:val="009E332E"/>
    <w:rsid w:val="009E3840"/>
    <w:rsid w:val="009E4380"/>
    <w:rsid w:val="009E5991"/>
    <w:rsid w:val="009E60C6"/>
    <w:rsid w:val="009E6D15"/>
    <w:rsid w:val="009E7850"/>
    <w:rsid w:val="009E7E6D"/>
    <w:rsid w:val="009F01D2"/>
    <w:rsid w:val="009F0873"/>
    <w:rsid w:val="009F0E20"/>
    <w:rsid w:val="009F2BB5"/>
    <w:rsid w:val="009F3774"/>
    <w:rsid w:val="009F4DCB"/>
    <w:rsid w:val="009F4F0A"/>
    <w:rsid w:val="009F5485"/>
    <w:rsid w:val="009F6796"/>
    <w:rsid w:val="00A0069F"/>
    <w:rsid w:val="00A00DE5"/>
    <w:rsid w:val="00A04289"/>
    <w:rsid w:val="00A05EE1"/>
    <w:rsid w:val="00A06C77"/>
    <w:rsid w:val="00A115FE"/>
    <w:rsid w:val="00A1281D"/>
    <w:rsid w:val="00A1307E"/>
    <w:rsid w:val="00A1371C"/>
    <w:rsid w:val="00A15C38"/>
    <w:rsid w:val="00A179EE"/>
    <w:rsid w:val="00A20331"/>
    <w:rsid w:val="00A20473"/>
    <w:rsid w:val="00A22A95"/>
    <w:rsid w:val="00A23E14"/>
    <w:rsid w:val="00A2444C"/>
    <w:rsid w:val="00A247D7"/>
    <w:rsid w:val="00A25134"/>
    <w:rsid w:val="00A27650"/>
    <w:rsid w:val="00A310D1"/>
    <w:rsid w:val="00A310EF"/>
    <w:rsid w:val="00A337AB"/>
    <w:rsid w:val="00A338A5"/>
    <w:rsid w:val="00A3416D"/>
    <w:rsid w:val="00A37974"/>
    <w:rsid w:val="00A41182"/>
    <w:rsid w:val="00A41A87"/>
    <w:rsid w:val="00A41B5C"/>
    <w:rsid w:val="00A43643"/>
    <w:rsid w:val="00A45433"/>
    <w:rsid w:val="00A46653"/>
    <w:rsid w:val="00A5281C"/>
    <w:rsid w:val="00A55630"/>
    <w:rsid w:val="00A56539"/>
    <w:rsid w:val="00A62EAA"/>
    <w:rsid w:val="00A63096"/>
    <w:rsid w:val="00A63D85"/>
    <w:rsid w:val="00A66AB1"/>
    <w:rsid w:val="00A67BFE"/>
    <w:rsid w:val="00A70737"/>
    <w:rsid w:val="00A723D5"/>
    <w:rsid w:val="00A72493"/>
    <w:rsid w:val="00A743D0"/>
    <w:rsid w:val="00A75BEE"/>
    <w:rsid w:val="00A76CDA"/>
    <w:rsid w:val="00A77B94"/>
    <w:rsid w:val="00A80123"/>
    <w:rsid w:val="00A8165E"/>
    <w:rsid w:val="00A81CBF"/>
    <w:rsid w:val="00A83030"/>
    <w:rsid w:val="00A86A98"/>
    <w:rsid w:val="00A90555"/>
    <w:rsid w:val="00A90C24"/>
    <w:rsid w:val="00A90F65"/>
    <w:rsid w:val="00A96250"/>
    <w:rsid w:val="00A962A4"/>
    <w:rsid w:val="00A974D2"/>
    <w:rsid w:val="00AA051C"/>
    <w:rsid w:val="00AA1E66"/>
    <w:rsid w:val="00AA352F"/>
    <w:rsid w:val="00AA54C6"/>
    <w:rsid w:val="00AA5FCC"/>
    <w:rsid w:val="00AA729C"/>
    <w:rsid w:val="00AA784F"/>
    <w:rsid w:val="00AA7A04"/>
    <w:rsid w:val="00AB05C5"/>
    <w:rsid w:val="00AB1BF3"/>
    <w:rsid w:val="00AB3916"/>
    <w:rsid w:val="00AB6740"/>
    <w:rsid w:val="00AB67B7"/>
    <w:rsid w:val="00AB694D"/>
    <w:rsid w:val="00AC04D5"/>
    <w:rsid w:val="00AC0F61"/>
    <w:rsid w:val="00AC25B0"/>
    <w:rsid w:val="00AC3C69"/>
    <w:rsid w:val="00AC666A"/>
    <w:rsid w:val="00AC7083"/>
    <w:rsid w:val="00AD2F4F"/>
    <w:rsid w:val="00AD42F0"/>
    <w:rsid w:val="00AD49F3"/>
    <w:rsid w:val="00AD64D3"/>
    <w:rsid w:val="00AD6D6F"/>
    <w:rsid w:val="00AD6E2B"/>
    <w:rsid w:val="00AE0774"/>
    <w:rsid w:val="00AE1430"/>
    <w:rsid w:val="00AE1853"/>
    <w:rsid w:val="00AE1ACA"/>
    <w:rsid w:val="00AE275D"/>
    <w:rsid w:val="00AE27B3"/>
    <w:rsid w:val="00AE46E5"/>
    <w:rsid w:val="00AE567B"/>
    <w:rsid w:val="00AE5861"/>
    <w:rsid w:val="00AE6032"/>
    <w:rsid w:val="00AE6327"/>
    <w:rsid w:val="00AF2654"/>
    <w:rsid w:val="00AF4202"/>
    <w:rsid w:val="00AF4831"/>
    <w:rsid w:val="00AF50BB"/>
    <w:rsid w:val="00AF639F"/>
    <w:rsid w:val="00B005AF"/>
    <w:rsid w:val="00B0084B"/>
    <w:rsid w:val="00B0153D"/>
    <w:rsid w:val="00B02276"/>
    <w:rsid w:val="00B06D72"/>
    <w:rsid w:val="00B071EB"/>
    <w:rsid w:val="00B07B7F"/>
    <w:rsid w:val="00B10587"/>
    <w:rsid w:val="00B10FFD"/>
    <w:rsid w:val="00B135B3"/>
    <w:rsid w:val="00B148F9"/>
    <w:rsid w:val="00B16639"/>
    <w:rsid w:val="00B1791F"/>
    <w:rsid w:val="00B20ADC"/>
    <w:rsid w:val="00B21A26"/>
    <w:rsid w:val="00B22400"/>
    <w:rsid w:val="00B24F84"/>
    <w:rsid w:val="00B2616F"/>
    <w:rsid w:val="00B278F4"/>
    <w:rsid w:val="00B329E1"/>
    <w:rsid w:val="00B32F24"/>
    <w:rsid w:val="00B3394D"/>
    <w:rsid w:val="00B34DFD"/>
    <w:rsid w:val="00B34E4F"/>
    <w:rsid w:val="00B36117"/>
    <w:rsid w:val="00B37C49"/>
    <w:rsid w:val="00B40264"/>
    <w:rsid w:val="00B40E85"/>
    <w:rsid w:val="00B42F20"/>
    <w:rsid w:val="00B43222"/>
    <w:rsid w:val="00B43318"/>
    <w:rsid w:val="00B43707"/>
    <w:rsid w:val="00B43F17"/>
    <w:rsid w:val="00B4646E"/>
    <w:rsid w:val="00B465FB"/>
    <w:rsid w:val="00B46B96"/>
    <w:rsid w:val="00B4707D"/>
    <w:rsid w:val="00B47217"/>
    <w:rsid w:val="00B4742F"/>
    <w:rsid w:val="00B474B0"/>
    <w:rsid w:val="00B47EB6"/>
    <w:rsid w:val="00B50425"/>
    <w:rsid w:val="00B506E1"/>
    <w:rsid w:val="00B514F6"/>
    <w:rsid w:val="00B51DF4"/>
    <w:rsid w:val="00B52139"/>
    <w:rsid w:val="00B52444"/>
    <w:rsid w:val="00B52485"/>
    <w:rsid w:val="00B556F2"/>
    <w:rsid w:val="00B557C3"/>
    <w:rsid w:val="00B56521"/>
    <w:rsid w:val="00B61D81"/>
    <w:rsid w:val="00B6616E"/>
    <w:rsid w:val="00B67B45"/>
    <w:rsid w:val="00B67DAD"/>
    <w:rsid w:val="00B7030F"/>
    <w:rsid w:val="00B71E90"/>
    <w:rsid w:val="00B72890"/>
    <w:rsid w:val="00B812B3"/>
    <w:rsid w:val="00B83A25"/>
    <w:rsid w:val="00B84544"/>
    <w:rsid w:val="00B867D9"/>
    <w:rsid w:val="00B86BD8"/>
    <w:rsid w:val="00B874FF"/>
    <w:rsid w:val="00B90D1F"/>
    <w:rsid w:val="00B91440"/>
    <w:rsid w:val="00B96C0C"/>
    <w:rsid w:val="00B96E46"/>
    <w:rsid w:val="00BA14A7"/>
    <w:rsid w:val="00BA1B8B"/>
    <w:rsid w:val="00BA391A"/>
    <w:rsid w:val="00BA4357"/>
    <w:rsid w:val="00BA4724"/>
    <w:rsid w:val="00BA482F"/>
    <w:rsid w:val="00BA55C0"/>
    <w:rsid w:val="00BA697C"/>
    <w:rsid w:val="00BB431D"/>
    <w:rsid w:val="00BB712E"/>
    <w:rsid w:val="00BC04CC"/>
    <w:rsid w:val="00BC2319"/>
    <w:rsid w:val="00BC3B9A"/>
    <w:rsid w:val="00BC3D4B"/>
    <w:rsid w:val="00BC58B1"/>
    <w:rsid w:val="00BD152A"/>
    <w:rsid w:val="00BD1616"/>
    <w:rsid w:val="00BD5769"/>
    <w:rsid w:val="00BD6167"/>
    <w:rsid w:val="00BD7B97"/>
    <w:rsid w:val="00BD7C33"/>
    <w:rsid w:val="00BE255C"/>
    <w:rsid w:val="00BE4E0B"/>
    <w:rsid w:val="00BF0741"/>
    <w:rsid w:val="00BF35FE"/>
    <w:rsid w:val="00BF3B94"/>
    <w:rsid w:val="00BF51F4"/>
    <w:rsid w:val="00C02E62"/>
    <w:rsid w:val="00C0391C"/>
    <w:rsid w:val="00C03CD1"/>
    <w:rsid w:val="00C03D0F"/>
    <w:rsid w:val="00C059E9"/>
    <w:rsid w:val="00C06403"/>
    <w:rsid w:val="00C079AB"/>
    <w:rsid w:val="00C13127"/>
    <w:rsid w:val="00C14862"/>
    <w:rsid w:val="00C15659"/>
    <w:rsid w:val="00C2081C"/>
    <w:rsid w:val="00C20CA9"/>
    <w:rsid w:val="00C21578"/>
    <w:rsid w:val="00C21C07"/>
    <w:rsid w:val="00C223A4"/>
    <w:rsid w:val="00C239D2"/>
    <w:rsid w:val="00C25B0A"/>
    <w:rsid w:val="00C26D9A"/>
    <w:rsid w:val="00C3045B"/>
    <w:rsid w:val="00C32053"/>
    <w:rsid w:val="00C32387"/>
    <w:rsid w:val="00C32ADA"/>
    <w:rsid w:val="00C32E7D"/>
    <w:rsid w:val="00C32FFF"/>
    <w:rsid w:val="00C3531D"/>
    <w:rsid w:val="00C355D7"/>
    <w:rsid w:val="00C35EFC"/>
    <w:rsid w:val="00C36482"/>
    <w:rsid w:val="00C41866"/>
    <w:rsid w:val="00C43E8B"/>
    <w:rsid w:val="00C449D1"/>
    <w:rsid w:val="00C4545D"/>
    <w:rsid w:val="00C574AE"/>
    <w:rsid w:val="00C615F4"/>
    <w:rsid w:val="00C61641"/>
    <w:rsid w:val="00C61B5D"/>
    <w:rsid w:val="00C6417A"/>
    <w:rsid w:val="00C652FE"/>
    <w:rsid w:val="00C704D3"/>
    <w:rsid w:val="00C720F8"/>
    <w:rsid w:val="00C724A2"/>
    <w:rsid w:val="00C74430"/>
    <w:rsid w:val="00C7470B"/>
    <w:rsid w:val="00C75087"/>
    <w:rsid w:val="00C75B9F"/>
    <w:rsid w:val="00C77986"/>
    <w:rsid w:val="00C812DC"/>
    <w:rsid w:val="00C81E93"/>
    <w:rsid w:val="00C85158"/>
    <w:rsid w:val="00C8779C"/>
    <w:rsid w:val="00C87CD9"/>
    <w:rsid w:val="00CA174A"/>
    <w:rsid w:val="00CA4439"/>
    <w:rsid w:val="00CA5257"/>
    <w:rsid w:val="00CA7CA5"/>
    <w:rsid w:val="00CB0296"/>
    <w:rsid w:val="00CB2D68"/>
    <w:rsid w:val="00CB4569"/>
    <w:rsid w:val="00CB520D"/>
    <w:rsid w:val="00CB540A"/>
    <w:rsid w:val="00CB6150"/>
    <w:rsid w:val="00CB6644"/>
    <w:rsid w:val="00CC09B8"/>
    <w:rsid w:val="00CC1C84"/>
    <w:rsid w:val="00CC27A5"/>
    <w:rsid w:val="00CC6EA9"/>
    <w:rsid w:val="00CC7790"/>
    <w:rsid w:val="00CC7A8F"/>
    <w:rsid w:val="00CD1D7D"/>
    <w:rsid w:val="00CD24D5"/>
    <w:rsid w:val="00CD5AB6"/>
    <w:rsid w:val="00CD6087"/>
    <w:rsid w:val="00CD7660"/>
    <w:rsid w:val="00CD7698"/>
    <w:rsid w:val="00CD7E26"/>
    <w:rsid w:val="00CE0821"/>
    <w:rsid w:val="00CE2282"/>
    <w:rsid w:val="00CE27BF"/>
    <w:rsid w:val="00CE3DCB"/>
    <w:rsid w:val="00CE3E38"/>
    <w:rsid w:val="00CE4C97"/>
    <w:rsid w:val="00CE52C5"/>
    <w:rsid w:val="00CE5F97"/>
    <w:rsid w:val="00CE664B"/>
    <w:rsid w:val="00CE7378"/>
    <w:rsid w:val="00CE7B02"/>
    <w:rsid w:val="00CF1798"/>
    <w:rsid w:val="00CF21D1"/>
    <w:rsid w:val="00CF22C5"/>
    <w:rsid w:val="00CF3A9E"/>
    <w:rsid w:val="00CF50C9"/>
    <w:rsid w:val="00CF6B94"/>
    <w:rsid w:val="00D00342"/>
    <w:rsid w:val="00D004AC"/>
    <w:rsid w:val="00D00DC5"/>
    <w:rsid w:val="00D01270"/>
    <w:rsid w:val="00D01AF8"/>
    <w:rsid w:val="00D03689"/>
    <w:rsid w:val="00D03A69"/>
    <w:rsid w:val="00D041E8"/>
    <w:rsid w:val="00D04E14"/>
    <w:rsid w:val="00D058B2"/>
    <w:rsid w:val="00D11073"/>
    <w:rsid w:val="00D11D61"/>
    <w:rsid w:val="00D12B16"/>
    <w:rsid w:val="00D13D5F"/>
    <w:rsid w:val="00D1464F"/>
    <w:rsid w:val="00D146B6"/>
    <w:rsid w:val="00D1650D"/>
    <w:rsid w:val="00D17569"/>
    <w:rsid w:val="00D20C03"/>
    <w:rsid w:val="00D21BD6"/>
    <w:rsid w:val="00D22113"/>
    <w:rsid w:val="00D2335E"/>
    <w:rsid w:val="00D24ABE"/>
    <w:rsid w:val="00D24B5B"/>
    <w:rsid w:val="00D27B35"/>
    <w:rsid w:val="00D27E1C"/>
    <w:rsid w:val="00D31ED1"/>
    <w:rsid w:val="00D3402A"/>
    <w:rsid w:val="00D35606"/>
    <w:rsid w:val="00D36FB7"/>
    <w:rsid w:val="00D43DB1"/>
    <w:rsid w:val="00D45F8B"/>
    <w:rsid w:val="00D46279"/>
    <w:rsid w:val="00D46EAE"/>
    <w:rsid w:val="00D501D9"/>
    <w:rsid w:val="00D510BC"/>
    <w:rsid w:val="00D51308"/>
    <w:rsid w:val="00D5310B"/>
    <w:rsid w:val="00D55B37"/>
    <w:rsid w:val="00D63D9F"/>
    <w:rsid w:val="00D65157"/>
    <w:rsid w:val="00D6540C"/>
    <w:rsid w:val="00D665D7"/>
    <w:rsid w:val="00D7160B"/>
    <w:rsid w:val="00D71F47"/>
    <w:rsid w:val="00D75178"/>
    <w:rsid w:val="00D75714"/>
    <w:rsid w:val="00D76499"/>
    <w:rsid w:val="00D77BBC"/>
    <w:rsid w:val="00D80CA5"/>
    <w:rsid w:val="00D83A81"/>
    <w:rsid w:val="00D83D76"/>
    <w:rsid w:val="00D844B6"/>
    <w:rsid w:val="00D85018"/>
    <w:rsid w:val="00D8544C"/>
    <w:rsid w:val="00D856FA"/>
    <w:rsid w:val="00D86331"/>
    <w:rsid w:val="00D86EBA"/>
    <w:rsid w:val="00D90345"/>
    <w:rsid w:val="00D9056A"/>
    <w:rsid w:val="00D90683"/>
    <w:rsid w:val="00D912A0"/>
    <w:rsid w:val="00D91865"/>
    <w:rsid w:val="00D9275C"/>
    <w:rsid w:val="00DA1502"/>
    <w:rsid w:val="00DA1DC5"/>
    <w:rsid w:val="00DA20FA"/>
    <w:rsid w:val="00DA2BC6"/>
    <w:rsid w:val="00DA46B9"/>
    <w:rsid w:val="00DA4E16"/>
    <w:rsid w:val="00DA5899"/>
    <w:rsid w:val="00DB14F2"/>
    <w:rsid w:val="00DB2B9E"/>
    <w:rsid w:val="00DB3B84"/>
    <w:rsid w:val="00DB535E"/>
    <w:rsid w:val="00DB6C03"/>
    <w:rsid w:val="00DB7062"/>
    <w:rsid w:val="00DC0D77"/>
    <w:rsid w:val="00DC2EFC"/>
    <w:rsid w:val="00DC3BE6"/>
    <w:rsid w:val="00DC40B1"/>
    <w:rsid w:val="00DC55E5"/>
    <w:rsid w:val="00DC5741"/>
    <w:rsid w:val="00DC6D85"/>
    <w:rsid w:val="00DC74F5"/>
    <w:rsid w:val="00DD0500"/>
    <w:rsid w:val="00DD05C6"/>
    <w:rsid w:val="00DD1D64"/>
    <w:rsid w:val="00DD560B"/>
    <w:rsid w:val="00DD5D4E"/>
    <w:rsid w:val="00DE510B"/>
    <w:rsid w:val="00DE56DD"/>
    <w:rsid w:val="00DE57BE"/>
    <w:rsid w:val="00DE581F"/>
    <w:rsid w:val="00DE7390"/>
    <w:rsid w:val="00DF0AA6"/>
    <w:rsid w:val="00DF113E"/>
    <w:rsid w:val="00DF192E"/>
    <w:rsid w:val="00DF217E"/>
    <w:rsid w:val="00DF3296"/>
    <w:rsid w:val="00DF45D1"/>
    <w:rsid w:val="00E006A0"/>
    <w:rsid w:val="00E01B14"/>
    <w:rsid w:val="00E01DAC"/>
    <w:rsid w:val="00E03092"/>
    <w:rsid w:val="00E03C5D"/>
    <w:rsid w:val="00E03CAC"/>
    <w:rsid w:val="00E04671"/>
    <w:rsid w:val="00E05174"/>
    <w:rsid w:val="00E05EC4"/>
    <w:rsid w:val="00E06037"/>
    <w:rsid w:val="00E06B79"/>
    <w:rsid w:val="00E12088"/>
    <w:rsid w:val="00E12215"/>
    <w:rsid w:val="00E12B1B"/>
    <w:rsid w:val="00E13EDF"/>
    <w:rsid w:val="00E1680E"/>
    <w:rsid w:val="00E2362B"/>
    <w:rsid w:val="00E237D9"/>
    <w:rsid w:val="00E244AD"/>
    <w:rsid w:val="00E250FD"/>
    <w:rsid w:val="00E27612"/>
    <w:rsid w:val="00E3157C"/>
    <w:rsid w:val="00E318EA"/>
    <w:rsid w:val="00E31E20"/>
    <w:rsid w:val="00E320FB"/>
    <w:rsid w:val="00E32C63"/>
    <w:rsid w:val="00E349A6"/>
    <w:rsid w:val="00E349B8"/>
    <w:rsid w:val="00E349CE"/>
    <w:rsid w:val="00E34FEB"/>
    <w:rsid w:val="00E37457"/>
    <w:rsid w:val="00E3761D"/>
    <w:rsid w:val="00E4200B"/>
    <w:rsid w:val="00E4290C"/>
    <w:rsid w:val="00E449E2"/>
    <w:rsid w:val="00E44AC4"/>
    <w:rsid w:val="00E45334"/>
    <w:rsid w:val="00E45439"/>
    <w:rsid w:val="00E47CE4"/>
    <w:rsid w:val="00E52E8A"/>
    <w:rsid w:val="00E53CA3"/>
    <w:rsid w:val="00E553F4"/>
    <w:rsid w:val="00E625AA"/>
    <w:rsid w:val="00E633ED"/>
    <w:rsid w:val="00E63EBE"/>
    <w:rsid w:val="00E66986"/>
    <w:rsid w:val="00E66C2B"/>
    <w:rsid w:val="00E66DFD"/>
    <w:rsid w:val="00E67F3B"/>
    <w:rsid w:val="00E70025"/>
    <w:rsid w:val="00E700BE"/>
    <w:rsid w:val="00E720F6"/>
    <w:rsid w:val="00E72F41"/>
    <w:rsid w:val="00E7322C"/>
    <w:rsid w:val="00E73982"/>
    <w:rsid w:val="00E74542"/>
    <w:rsid w:val="00E747C7"/>
    <w:rsid w:val="00E75566"/>
    <w:rsid w:val="00E76481"/>
    <w:rsid w:val="00E838B0"/>
    <w:rsid w:val="00E839CA"/>
    <w:rsid w:val="00E91B19"/>
    <w:rsid w:val="00E926DE"/>
    <w:rsid w:val="00E94FE9"/>
    <w:rsid w:val="00E9516B"/>
    <w:rsid w:val="00EA1FA4"/>
    <w:rsid w:val="00EA2A03"/>
    <w:rsid w:val="00EA3337"/>
    <w:rsid w:val="00EA68EF"/>
    <w:rsid w:val="00EB087A"/>
    <w:rsid w:val="00EB35F7"/>
    <w:rsid w:val="00EB4554"/>
    <w:rsid w:val="00EB58B6"/>
    <w:rsid w:val="00EB5AC4"/>
    <w:rsid w:val="00EC0704"/>
    <w:rsid w:val="00EC5C2B"/>
    <w:rsid w:val="00ED08CD"/>
    <w:rsid w:val="00ED2558"/>
    <w:rsid w:val="00ED4670"/>
    <w:rsid w:val="00ED4B1F"/>
    <w:rsid w:val="00ED78E2"/>
    <w:rsid w:val="00EE29E9"/>
    <w:rsid w:val="00EE2CFC"/>
    <w:rsid w:val="00EE3A26"/>
    <w:rsid w:val="00EE3A2A"/>
    <w:rsid w:val="00EE3F92"/>
    <w:rsid w:val="00EE5E8B"/>
    <w:rsid w:val="00EE6E70"/>
    <w:rsid w:val="00EF11E0"/>
    <w:rsid w:val="00EF29AA"/>
    <w:rsid w:val="00EF36AD"/>
    <w:rsid w:val="00EF6830"/>
    <w:rsid w:val="00EF74B9"/>
    <w:rsid w:val="00F00D54"/>
    <w:rsid w:val="00F00F2B"/>
    <w:rsid w:val="00F0464C"/>
    <w:rsid w:val="00F066B4"/>
    <w:rsid w:val="00F101D9"/>
    <w:rsid w:val="00F10774"/>
    <w:rsid w:val="00F11BC7"/>
    <w:rsid w:val="00F1276F"/>
    <w:rsid w:val="00F13348"/>
    <w:rsid w:val="00F1401A"/>
    <w:rsid w:val="00F14B49"/>
    <w:rsid w:val="00F14E49"/>
    <w:rsid w:val="00F15101"/>
    <w:rsid w:val="00F15C2A"/>
    <w:rsid w:val="00F17810"/>
    <w:rsid w:val="00F24179"/>
    <w:rsid w:val="00F24393"/>
    <w:rsid w:val="00F26433"/>
    <w:rsid w:val="00F31EE9"/>
    <w:rsid w:val="00F33B01"/>
    <w:rsid w:val="00F33FDD"/>
    <w:rsid w:val="00F34CB9"/>
    <w:rsid w:val="00F34CFA"/>
    <w:rsid w:val="00F35C5F"/>
    <w:rsid w:val="00F36B4A"/>
    <w:rsid w:val="00F36E92"/>
    <w:rsid w:val="00F40295"/>
    <w:rsid w:val="00F410B5"/>
    <w:rsid w:val="00F428A1"/>
    <w:rsid w:val="00F4499B"/>
    <w:rsid w:val="00F44C98"/>
    <w:rsid w:val="00F46249"/>
    <w:rsid w:val="00F4693E"/>
    <w:rsid w:val="00F47055"/>
    <w:rsid w:val="00F474D9"/>
    <w:rsid w:val="00F5134D"/>
    <w:rsid w:val="00F5292A"/>
    <w:rsid w:val="00F52AE8"/>
    <w:rsid w:val="00F5635F"/>
    <w:rsid w:val="00F575FD"/>
    <w:rsid w:val="00F61408"/>
    <w:rsid w:val="00F63B1B"/>
    <w:rsid w:val="00F63B7E"/>
    <w:rsid w:val="00F64731"/>
    <w:rsid w:val="00F6522C"/>
    <w:rsid w:val="00F656FC"/>
    <w:rsid w:val="00F70B01"/>
    <w:rsid w:val="00F74DF2"/>
    <w:rsid w:val="00F77C92"/>
    <w:rsid w:val="00F816E3"/>
    <w:rsid w:val="00F8214E"/>
    <w:rsid w:val="00F85535"/>
    <w:rsid w:val="00F87D7B"/>
    <w:rsid w:val="00F909F2"/>
    <w:rsid w:val="00F9531D"/>
    <w:rsid w:val="00F96A2A"/>
    <w:rsid w:val="00F96D73"/>
    <w:rsid w:val="00F96F7D"/>
    <w:rsid w:val="00FA1796"/>
    <w:rsid w:val="00FA1F4A"/>
    <w:rsid w:val="00FA3F74"/>
    <w:rsid w:val="00FA4046"/>
    <w:rsid w:val="00FA592B"/>
    <w:rsid w:val="00FB0F38"/>
    <w:rsid w:val="00FB3A22"/>
    <w:rsid w:val="00FB4B70"/>
    <w:rsid w:val="00FB5089"/>
    <w:rsid w:val="00FB6D52"/>
    <w:rsid w:val="00FC1273"/>
    <w:rsid w:val="00FC1555"/>
    <w:rsid w:val="00FC4145"/>
    <w:rsid w:val="00FC4604"/>
    <w:rsid w:val="00FC7F1A"/>
    <w:rsid w:val="00FD0760"/>
    <w:rsid w:val="00FD2D21"/>
    <w:rsid w:val="00FD32C4"/>
    <w:rsid w:val="00FD7FD9"/>
    <w:rsid w:val="00FE0C88"/>
    <w:rsid w:val="00FE1712"/>
    <w:rsid w:val="00FE5DB0"/>
    <w:rsid w:val="00FE6D17"/>
    <w:rsid w:val="00FE7FAC"/>
    <w:rsid w:val="00FF1096"/>
    <w:rsid w:val="00FF1422"/>
    <w:rsid w:val="00FF1A78"/>
    <w:rsid w:val="00FF3013"/>
    <w:rsid w:val="00FF3C9B"/>
    <w:rsid w:val="00FF5754"/>
    <w:rsid w:val="00FF5B31"/>
    <w:rsid w:val="00FF648C"/>
    <w:rsid w:val="05351F2A"/>
    <w:rsid w:val="054CAE80"/>
    <w:rsid w:val="0C47FA39"/>
    <w:rsid w:val="0C60B74F"/>
    <w:rsid w:val="126BCBF6"/>
    <w:rsid w:val="182ACEDB"/>
    <w:rsid w:val="1F5784EB"/>
    <w:rsid w:val="222148E9"/>
    <w:rsid w:val="27592406"/>
    <w:rsid w:val="27C1B617"/>
    <w:rsid w:val="38092249"/>
    <w:rsid w:val="3DE8815F"/>
    <w:rsid w:val="41D05D6A"/>
    <w:rsid w:val="43B19B69"/>
    <w:rsid w:val="4400D10F"/>
    <w:rsid w:val="4836E078"/>
    <w:rsid w:val="48C7E21A"/>
    <w:rsid w:val="4D9791A7"/>
    <w:rsid w:val="53F2102A"/>
    <w:rsid w:val="5F274532"/>
    <w:rsid w:val="60567CA9"/>
    <w:rsid w:val="60DF514A"/>
    <w:rsid w:val="62874189"/>
    <w:rsid w:val="640E32E7"/>
    <w:rsid w:val="716C68E2"/>
    <w:rsid w:val="72D60DDC"/>
    <w:rsid w:val="755C6771"/>
    <w:rsid w:val="76582334"/>
    <w:rsid w:val="7C40A21B"/>
    <w:rsid w:val="7F6712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58ECA2"/>
  <w15:docId w15:val="{3461FA2F-D82C-48C0-97AD-91136F53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EastAsia" w:hAnsi="Myriad Pro" w:cstheme="minorBidi"/>
        <w:sz w:val="24"/>
        <w:szCs w:val="24"/>
        <w:lang w:val="en-GB" w:eastAsia="en-US" w:bidi="ar-SA"/>
      </w:rPr>
    </w:rPrDefault>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7B1514"/>
    <w:pPr>
      <w:spacing w:before="40" w:after="120" w:line="260" w:lineRule="atLeast"/>
    </w:pPr>
    <w:rPr>
      <w:rFonts w:ascii="Arial" w:hAnsi="Arial"/>
      <w:sz w:val="20"/>
      <w:lang w:val="nl-NL"/>
    </w:rPr>
  </w:style>
  <w:style w:type="paragraph" w:styleId="Heading1">
    <w:name w:val="heading 1"/>
    <w:next w:val="Normal"/>
    <w:link w:val="Heading1Char"/>
    <w:uiPriority w:val="9"/>
    <w:qFormat/>
    <w:rsid w:val="00C03CD1"/>
    <w:pPr>
      <w:keepNext/>
      <w:keepLines/>
      <w:numPr>
        <w:numId w:val="4"/>
      </w:numPr>
      <w:spacing w:before="640" w:after="400"/>
      <w:outlineLvl w:val="0"/>
    </w:pPr>
    <w:rPr>
      <w:rFonts w:ascii="Arial" w:eastAsiaTheme="majorEastAsia" w:hAnsi="Arial" w:cstheme="majorBidi"/>
      <w:b/>
      <w:bCs/>
      <w:color w:val="7C2855"/>
      <w:sz w:val="32"/>
      <w:szCs w:val="32"/>
      <w:lang w:val="nl-NL"/>
    </w:rPr>
  </w:style>
  <w:style w:type="paragraph" w:styleId="Heading2">
    <w:name w:val="heading 2"/>
    <w:next w:val="Normal"/>
    <w:link w:val="Heading2Char"/>
    <w:uiPriority w:val="9"/>
    <w:unhideWhenUsed/>
    <w:qFormat/>
    <w:rsid w:val="00186A6E"/>
    <w:pPr>
      <w:keepNext/>
      <w:keepLines/>
      <w:numPr>
        <w:ilvl w:val="1"/>
        <w:numId w:val="4"/>
      </w:numPr>
      <w:spacing w:before="360" w:after="240"/>
      <w:ind w:left="851"/>
      <w:outlineLvl w:val="1"/>
    </w:pPr>
    <w:rPr>
      <w:rFonts w:ascii="Arial" w:eastAsiaTheme="majorEastAsia" w:hAnsi="Arial" w:cstheme="majorBidi"/>
      <w:bCs/>
      <w:color w:val="E60036"/>
      <w:sz w:val="26"/>
      <w:szCs w:val="26"/>
      <w:lang w:val="nl-NL"/>
    </w:rPr>
  </w:style>
  <w:style w:type="paragraph" w:styleId="Heading3">
    <w:name w:val="heading 3"/>
    <w:basedOn w:val="Normal"/>
    <w:next w:val="Normal"/>
    <w:link w:val="Heading3Char"/>
    <w:uiPriority w:val="9"/>
    <w:unhideWhenUsed/>
    <w:qFormat/>
    <w:rsid w:val="00C03CD1"/>
    <w:pPr>
      <w:keepNext/>
      <w:keepLines/>
      <w:numPr>
        <w:ilvl w:val="2"/>
        <w:numId w:val="4"/>
      </w:numPr>
      <w:spacing w:before="240"/>
      <w:outlineLvl w:val="2"/>
    </w:pPr>
    <w:rPr>
      <w:rFonts w:eastAsiaTheme="majorEastAsia" w:cstheme="majorBidi"/>
      <w:b/>
      <w:bCs/>
      <w:color w:val="7C2855"/>
    </w:rPr>
  </w:style>
  <w:style w:type="paragraph" w:styleId="Heading4">
    <w:name w:val="heading 4"/>
    <w:basedOn w:val="Normal"/>
    <w:next w:val="Normal"/>
    <w:link w:val="Heading4Char"/>
    <w:uiPriority w:val="9"/>
    <w:unhideWhenUsed/>
    <w:qFormat/>
    <w:rsid w:val="00C03CD1"/>
    <w:pPr>
      <w:keepNext/>
      <w:keepLines/>
      <w:numPr>
        <w:ilvl w:val="3"/>
        <w:numId w:val="4"/>
      </w:numPr>
      <w:spacing w:after="0"/>
      <w:outlineLvl w:val="3"/>
    </w:pPr>
    <w:rPr>
      <w:rFonts w:eastAsiaTheme="majorEastAsia" w:cstheme="majorBidi"/>
      <w:color w:val="5C1E3F" w:themeColor="accent1" w:themeShade="BF"/>
    </w:rPr>
  </w:style>
  <w:style w:type="paragraph" w:styleId="Heading5">
    <w:name w:val="heading 5"/>
    <w:basedOn w:val="Normal"/>
    <w:next w:val="Normal"/>
    <w:link w:val="Heading5Char"/>
    <w:uiPriority w:val="9"/>
    <w:unhideWhenUsed/>
    <w:qFormat/>
    <w:rsid w:val="00C03CD1"/>
    <w:pPr>
      <w:keepNext/>
      <w:keepLines/>
      <w:spacing w:after="0"/>
      <w:outlineLvl w:val="4"/>
    </w:pPr>
    <w:rPr>
      <w:rFonts w:asciiTheme="majorHAnsi" w:eastAsiaTheme="majorEastAsia" w:hAnsiTheme="majorHAnsi" w:cstheme="majorBidi"/>
      <w:color w:val="DC4405"/>
    </w:rPr>
  </w:style>
  <w:style w:type="paragraph" w:styleId="Heading6">
    <w:name w:val="heading 6"/>
    <w:basedOn w:val="Normal"/>
    <w:next w:val="Normal"/>
    <w:link w:val="Heading6Char"/>
    <w:uiPriority w:val="9"/>
    <w:unhideWhenUsed/>
    <w:qFormat/>
    <w:rsid w:val="000F5279"/>
    <w:pPr>
      <w:shd w:val="clear" w:color="auto" w:fill="FFFFFF"/>
      <w:spacing w:before="120" w:after="0" w:line="271" w:lineRule="auto"/>
      <w:ind w:left="851" w:hanging="851"/>
      <w:jc w:val="both"/>
      <w:outlineLvl w:val="5"/>
    </w:pPr>
    <w:rPr>
      <w:rFonts w:eastAsia="Calibri" w:cs="Times New Roman"/>
      <w:b/>
      <w:bCs/>
      <w:color w:val="595959"/>
      <w:spacing w:val="5"/>
      <w:sz w:val="22"/>
      <w:szCs w:val="22"/>
      <w:lang w:val="nl-BE"/>
    </w:rPr>
  </w:style>
  <w:style w:type="paragraph" w:styleId="Heading7">
    <w:name w:val="heading 7"/>
    <w:basedOn w:val="Normal"/>
    <w:next w:val="Normal"/>
    <w:link w:val="Heading7Char"/>
    <w:uiPriority w:val="9"/>
    <w:unhideWhenUsed/>
    <w:qFormat/>
    <w:rsid w:val="000F5279"/>
    <w:pPr>
      <w:spacing w:before="120" w:after="0" w:line="276" w:lineRule="auto"/>
      <w:ind w:left="851" w:hanging="851"/>
      <w:jc w:val="both"/>
      <w:outlineLvl w:val="6"/>
    </w:pPr>
    <w:rPr>
      <w:rFonts w:eastAsia="Calibri" w:cs="Times New Roman"/>
      <w:b/>
      <w:bCs/>
      <w:i/>
      <w:iCs/>
      <w:color w:val="5A5A5A"/>
      <w:sz w:val="16"/>
      <w:szCs w:val="20"/>
      <w:lang w:val="nl-BE"/>
    </w:rPr>
  </w:style>
  <w:style w:type="paragraph" w:styleId="Heading8">
    <w:name w:val="heading 8"/>
    <w:basedOn w:val="Normal"/>
    <w:next w:val="Normal"/>
    <w:link w:val="Heading8Char"/>
    <w:uiPriority w:val="9"/>
    <w:unhideWhenUsed/>
    <w:qFormat/>
    <w:rsid w:val="000F5279"/>
    <w:pPr>
      <w:spacing w:before="120" w:after="0" w:line="276" w:lineRule="auto"/>
      <w:ind w:left="851" w:hanging="851"/>
      <w:jc w:val="both"/>
      <w:outlineLvl w:val="7"/>
    </w:pPr>
    <w:rPr>
      <w:rFonts w:eastAsia="Calibri" w:cs="Times New Roman"/>
      <w:b/>
      <w:bCs/>
      <w:color w:val="7F7F7F"/>
      <w:sz w:val="16"/>
      <w:szCs w:val="20"/>
      <w:lang w:val="nl-BE"/>
    </w:rPr>
  </w:style>
  <w:style w:type="paragraph" w:styleId="Heading9">
    <w:name w:val="heading 9"/>
    <w:basedOn w:val="Normal"/>
    <w:next w:val="Normal"/>
    <w:link w:val="Heading9Char"/>
    <w:uiPriority w:val="9"/>
    <w:unhideWhenUsed/>
    <w:qFormat/>
    <w:rsid w:val="000F5279"/>
    <w:pPr>
      <w:spacing w:before="120" w:after="0" w:line="271" w:lineRule="auto"/>
      <w:ind w:left="851" w:hanging="851"/>
      <w:jc w:val="both"/>
      <w:outlineLvl w:val="8"/>
    </w:pPr>
    <w:rPr>
      <w:rFonts w:eastAsia="Calibri" w:cs="Times New Roman"/>
      <w:b/>
      <w:bCs/>
      <w:i/>
      <w:iCs/>
      <w:color w:val="7F7F7F"/>
      <w:sz w:val="16"/>
      <w:szCs w:val="18"/>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FollowedHyperlink"/>
    <w:uiPriority w:val="99"/>
    <w:unhideWhenUsed/>
    <w:rsid w:val="00801A40"/>
    <w:rPr>
      <w:color w:val="7C2855"/>
      <w:u w:val="single" w:color="7C2855"/>
    </w:rPr>
  </w:style>
  <w:style w:type="character" w:styleId="FollowedHyperlink">
    <w:name w:val="FollowedHyperlink"/>
    <w:basedOn w:val="DefaultParagraphFont"/>
    <w:uiPriority w:val="99"/>
    <w:semiHidden/>
    <w:unhideWhenUsed/>
    <w:rsid w:val="00992768"/>
    <w:rPr>
      <w:color w:val="7C2855" w:themeColor="followedHyperlink"/>
      <w:u w:val="single"/>
    </w:rPr>
  </w:style>
  <w:style w:type="table" w:styleId="TableGrid">
    <w:name w:val="Table Grid"/>
    <w:aliases w:val="sdworx table 1"/>
    <w:basedOn w:val="TableNormal"/>
    <w:rsid w:val="003A277C"/>
    <w:pPr>
      <w:spacing w:before="80" w:after="80"/>
      <w:jc w:val="right"/>
    </w:pPr>
    <w:rPr>
      <w:rFonts w:ascii="Arial" w:hAnsi="Arial"/>
      <w:color w:val="75787B"/>
      <w:sz w:val="20"/>
    </w:rPr>
    <w:tblPr>
      <w:tblBorders>
        <w:insideH w:val="single" w:sz="4" w:space="0" w:color="7C2855"/>
        <w:insideV w:val="single" w:sz="4" w:space="0" w:color="7C2855"/>
      </w:tblBorders>
    </w:tblPr>
    <w:tcPr>
      <w:vAlign w:val="center"/>
    </w:tcPr>
    <w:tblStylePr w:type="firstRow">
      <w:rPr>
        <w:rFonts w:ascii="Arial" w:hAnsi="Arial"/>
        <w:b/>
        <w:color w:val="7C2855"/>
        <w:sz w:val="22"/>
      </w:rPr>
      <w:tblPr/>
      <w:tcPr>
        <w:tcBorders>
          <w:top w:val="nil"/>
          <w:left w:val="nil"/>
          <w:bottom w:val="single" w:sz="2" w:space="0" w:color="7C2855"/>
          <w:right w:val="nil"/>
        </w:tcBorders>
      </w:tcPr>
    </w:tblStylePr>
    <w:tblStylePr w:type="lastRow">
      <w:rPr>
        <w:b/>
        <w:color w:val="C8C9C7" w:themeColor="background1"/>
      </w:rPr>
      <w:tblPr/>
      <w:tcPr>
        <w:tcBorders>
          <w:insideH w:val="nil"/>
          <w:insideV w:val="single" w:sz="4" w:space="0" w:color="C8C9C7" w:themeColor="background1"/>
        </w:tcBorders>
        <w:shd w:val="clear" w:color="auto" w:fill="7C2855"/>
      </w:tcPr>
    </w:tblStylePr>
    <w:tblStylePr w:type="firstCol">
      <w:pPr>
        <w:jc w:val="left"/>
      </w:pPr>
    </w:tblStylePr>
  </w:style>
  <w:style w:type="paragraph" w:customStyle="1" w:styleId="Titeltekst">
    <w:name w:val="Titel tekst"/>
    <w:uiPriority w:val="59"/>
    <w:qFormat/>
    <w:rsid w:val="00B10587"/>
    <w:pPr>
      <w:framePr w:hSpace="181" w:wrap="around" w:vAnchor="page" w:hAnchor="page" w:x="4701" w:y="6238"/>
      <w:spacing w:after="284"/>
    </w:pPr>
    <w:rPr>
      <w:rFonts w:ascii="Arial" w:hAnsi="Arial"/>
      <w:color w:val="75787B"/>
      <w:sz w:val="28"/>
      <w:szCs w:val="28"/>
      <w:lang w:val="nl-NL"/>
    </w:rPr>
  </w:style>
  <w:style w:type="paragraph" w:customStyle="1" w:styleId="TItelvanhetdocument">
    <w:name w:val="TItel van het document"/>
    <w:next w:val="Normal"/>
    <w:uiPriority w:val="58"/>
    <w:qFormat/>
    <w:rsid w:val="00B10587"/>
    <w:pPr>
      <w:framePr w:hSpace="181" w:wrap="around" w:vAnchor="page" w:hAnchor="page" w:x="4701" w:y="6238"/>
      <w:pBdr>
        <w:bottom w:val="single" w:sz="4" w:space="9" w:color="404040"/>
      </w:pBdr>
      <w:spacing w:after="170"/>
    </w:pPr>
    <w:rPr>
      <w:rFonts w:ascii="Arial" w:hAnsi="Arial"/>
      <w:color w:val="75787B"/>
      <w:sz w:val="60"/>
      <w:szCs w:val="60"/>
      <w:lang w:val="nl-NL"/>
    </w:rPr>
  </w:style>
  <w:style w:type="character" w:customStyle="1" w:styleId="Heading1Char">
    <w:name w:val="Heading 1 Char"/>
    <w:basedOn w:val="DefaultParagraphFont"/>
    <w:link w:val="Heading1"/>
    <w:uiPriority w:val="9"/>
    <w:rsid w:val="00C03CD1"/>
    <w:rPr>
      <w:rFonts w:ascii="Arial" w:eastAsiaTheme="majorEastAsia" w:hAnsi="Arial" w:cstheme="majorBidi"/>
      <w:b/>
      <w:bCs/>
      <w:color w:val="7C2855"/>
      <w:sz w:val="32"/>
      <w:szCs w:val="32"/>
      <w:lang w:val="nl-NL"/>
    </w:rPr>
  </w:style>
  <w:style w:type="character" w:customStyle="1" w:styleId="Heading2Char">
    <w:name w:val="Heading 2 Char"/>
    <w:basedOn w:val="DefaultParagraphFont"/>
    <w:link w:val="Heading2"/>
    <w:uiPriority w:val="9"/>
    <w:rsid w:val="00186A6E"/>
    <w:rPr>
      <w:rFonts w:ascii="Arial" w:eastAsiaTheme="majorEastAsia" w:hAnsi="Arial" w:cstheme="majorBidi"/>
      <w:bCs/>
      <w:color w:val="E60036"/>
      <w:sz w:val="26"/>
      <w:szCs w:val="26"/>
      <w:lang w:val="nl-NL"/>
    </w:rPr>
  </w:style>
  <w:style w:type="table" w:styleId="LightList">
    <w:name w:val="Light List"/>
    <w:aliases w:val="sdworx table 3"/>
    <w:basedOn w:val="TableNormal"/>
    <w:uiPriority w:val="61"/>
    <w:rsid w:val="00276455"/>
    <w:pPr>
      <w:spacing w:before="80" w:after="80"/>
      <w:jc w:val="right"/>
    </w:pPr>
    <w:rPr>
      <w:rFonts w:ascii="Arial" w:hAnsi="Arial"/>
      <w:color w:val="97999C" w:themeColor="text1" w:themeTint="BF"/>
      <w:sz w:val="20"/>
    </w:rPr>
    <w:tblPr>
      <w:tblStyleRowBandSize w:val="1"/>
      <w:tblStyleColBandSize w:val="1"/>
      <w:tblBorders>
        <w:top w:val="single" w:sz="4" w:space="0" w:color="7C2855"/>
        <w:left w:val="single" w:sz="4" w:space="0" w:color="7C2855"/>
        <w:bottom w:val="single" w:sz="4" w:space="0" w:color="7C2855"/>
        <w:right w:val="single" w:sz="4" w:space="0" w:color="7C2855"/>
        <w:insideH w:val="single" w:sz="4" w:space="0" w:color="7C2855"/>
        <w:insideV w:val="single" w:sz="4" w:space="0" w:color="7C2855"/>
      </w:tblBorders>
    </w:tblPr>
    <w:tcPr>
      <w:vAlign w:val="center"/>
    </w:tcPr>
    <w:tblStylePr w:type="firstRow">
      <w:pPr>
        <w:wordWrap/>
        <w:spacing w:beforeLines="30" w:before="30" w:beforeAutospacing="0" w:afterLines="30" w:after="30" w:afterAutospacing="0" w:line="240" w:lineRule="auto"/>
      </w:pPr>
      <w:rPr>
        <w:b/>
        <w:bCs/>
        <w:color w:val="7C2855"/>
      </w:rPr>
      <w:tblPr/>
      <w:tcPr>
        <w:tcBorders>
          <w:insideH w:val="single" w:sz="4" w:space="0" w:color="7C2855"/>
          <w:insideV w:val="single" w:sz="4" w:space="0" w:color="7C2855"/>
        </w:tcBorders>
      </w:tcPr>
    </w:tblStylePr>
    <w:tblStylePr w:type="lastRow">
      <w:pPr>
        <w:wordWrap/>
        <w:spacing w:beforeLines="0" w:before="80" w:beforeAutospacing="0" w:afterLines="0" w:after="80" w:afterAutospacing="0" w:line="240" w:lineRule="auto"/>
      </w:pPr>
      <w:rPr>
        <w:b/>
        <w:bCs/>
        <w:i w:val="0"/>
      </w:rPr>
      <w:tblPr/>
      <w:tcPr>
        <w:shd w:val="clear" w:color="auto" w:fill="DCDCDC"/>
      </w:tcPr>
    </w:tblStylePr>
    <w:tblStylePr w:type="firstCol">
      <w:pPr>
        <w:jc w:val="left"/>
      </w:pPr>
      <w:rPr>
        <w:b w:val="0"/>
        <w:bCs/>
      </w:rPr>
      <w:tblPr/>
      <w:tcPr>
        <w:tcBorders>
          <w:top w:val="nil"/>
          <w:left w:val="nil"/>
          <w:bottom w:val="nil"/>
          <w:right w:val="single" w:sz="4" w:space="0" w:color="97999C" w:themeColor="text1" w:themeTint="BF"/>
          <w:insideH w:val="nil"/>
          <w:insideV w:val="nil"/>
          <w:tl2br w:val="nil"/>
          <w:tr2bl w:val="nil"/>
        </w:tcBorders>
      </w:tcPr>
    </w:tblStylePr>
    <w:tblStylePr w:type="lastCol">
      <w:rPr>
        <w:b w:val="0"/>
        <w:bCs/>
      </w:rPr>
      <w:tblPr/>
      <w:tcPr>
        <w:tcBorders>
          <w:top w:val="single" w:sz="4" w:space="0" w:color="97999C" w:themeColor="text1" w:themeTint="BF"/>
          <w:left w:val="single" w:sz="4" w:space="0" w:color="97999C" w:themeColor="text1" w:themeTint="BF"/>
          <w:bottom w:val="single" w:sz="4" w:space="0" w:color="97999C" w:themeColor="text1" w:themeTint="BF"/>
          <w:right w:val="nil"/>
          <w:insideH w:val="single" w:sz="4" w:space="0" w:color="97999C" w:themeColor="text1" w:themeTint="BF"/>
          <w:insideV w:val="single" w:sz="4" w:space="0" w:color="97999C" w:themeColor="text1" w:themeTint="BF"/>
          <w:tl2br w:val="nil"/>
          <w:tr2bl w:val="nil"/>
        </w:tcBorders>
      </w:tcPr>
    </w:tblStylePr>
    <w:tblStylePr w:type="band1Vert">
      <w:tblPr/>
      <w:tcPr>
        <w:tcBorders>
          <w:top w:val="nil"/>
          <w:left w:val="nil"/>
          <w:bottom w:val="nil"/>
          <w:right w:val="single" w:sz="4" w:space="0" w:color="97999C" w:themeColor="text1" w:themeTint="BF"/>
          <w:insideH w:val="nil"/>
          <w:insideV w:val="nil"/>
          <w:tl2br w:val="nil"/>
          <w:tr2bl w:val="nil"/>
        </w:tcBorders>
      </w:tcPr>
    </w:tblStylePr>
    <w:tblStylePr w:type="band2Vert">
      <w:tblPr/>
      <w:tcPr>
        <w:tcBorders>
          <w:top w:val="nil"/>
          <w:left w:val="nil"/>
          <w:bottom w:val="nil"/>
          <w:right w:val="single" w:sz="4" w:space="0" w:color="97999C" w:themeColor="text1" w:themeTint="BF"/>
          <w:insideH w:val="nil"/>
          <w:insideV w:val="nil"/>
          <w:tl2br w:val="nil"/>
          <w:tr2bl w:val="nil"/>
        </w:tcBorders>
      </w:tcPr>
    </w:tblStylePr>
    <w:tblStylePr w:type="band1Horz">
      <w:tblPr/>
      <w:tcPr>
        <w:tcBorders>
          <w:top w:val="single" w:sz="4" w:space="0" w:color="97999C" w:themeColor="text1" w:themeTint="BF"/>
          <w:left w:val="single" w:sz="4" w:space="0" w:color="97999C" w:themeColor="text1" w:themeTint="BF"/>
          <w:bottom w:val="single" w:sz="4" w:space="0" w:color="97999C" w:themeColor="text1" w:themeTint="BF"/>
          <w:right w:val="single" w:sz="4" w:space="0" w:color="97999C" w:themeColor="text1" w:themeTint="BF"/>
          <w:insideH w:val="single" w:sz="4" w:space="0" w:color="97999C" w:themeColor="text1" w:themeTint="BF"/>
          <w:insideV w:val="single" w:sz="4" w:space="0" w:color="97999C" w:themeColor="text1" w:themeTint="BF"/>
          <w:tl2br w:val="nil"/>
          <w:tr2bl w:val="nil"/>
        </w:tcBorders>
      </w:tcPr>
    </w:tblStylePr>
    <w:tblStylePr w:type="band2Horz">
      <w:tblPr/>
      <w:tcPr>
        <w:tcBorders>
          <w:top w:val="single" w:sz="4" w:space="0" w:color="97999C" w:themeColor="text1" w:themeTint="BF"/>
          <w:left w:val="single" w:sz="4" w:space="0" w:color="97999C" w:themeColor="text1" w:themeTint="BF"/>
          <w:bottom w:val="single" w:sz="4" w:space="0" w:color="97999C" w:themeColor="text1" w:themeTint="BF"/>
          <w:right w:val="single" w:sz="4" w:space="0" w:color="97999C" w:themeColor="text1" w:themeTint="BF"/>
          <w:insideH w:val="single" w:sz="4" w:space="0" w:color="97999C" w:themeColor="text1" w:themeTint="BF"/>
          <w:insideV w:val="single" w:sz="4" w:space="0" w:color="97999C" w:themeColor="text1" w:themeTint="BF"/>
          <w:tl2br w:val="nil"/>
          <w:tr2bl w:val="nil"/>
        </w:tcBorders>
      </w:tcPr>
    </w:tblStylePr>
  </w:style>
  <w:style w:type="character" w:customStyle="1" w:styleId="Heading3Char">
    <w:name w:val="Heading 3 Char"/>
    <w:basedOn w:val="DefaultParagraphFont"/>
    <w:link w:val="Heading3"/>
    <w:uiPriority w:val="9"/>
    <w:rsid w:val="00C03CD1"/>
    <w:rPr>
      <w:rFonts w:ascii="Arial" w:eastAsiaTheme="majorEastAsia" w:hAnsi="Arial" w:cstheme="majorBidi"/>
      <w:b/>
      <w:bCs/>
      <w:color w:val="7C2855"/>
      <w:sz w:val="20"/>
      <w:lang w:val="nl-NL"/>
    </w:rPr>
  </w:style>
  <w:style w:type="numbering" w:customStyle="1" w:styleId="List-indentSDWorx">
    <w:name w:val="List-indent SD Worx"/>
    <w:basedOn w:val="NoList"/>
    <w:uiPriority w:val="99"/>
    <w:rsid w:val="003536F7"/>
    <w:pPr>
      <w:numPr>
        <w:numId w:val="1"/>
      </w:numPr>
    </w:pPr>
  </w:style>
  <w:style w:type="paragraph" w:styleId="ListParagraph">
    <w:name w:val="List Paragraph"/>
    <w:aliases w:val="sdworx list paragraph,MPG Title"/>
    <w:basedOn w:val="Normal"/>
    <w:link w:val="ListParagraphChar"/>
    <w:uiPriority w:val="34"/>
    <w:qFormat/>
    <w:rsid w:val="00B10587"/>
    <w:pPr>
      <w:ind w:left="170" w:hanging="170"/>
      <w:contextualSpacing/>
    </w:pPr>
    <w:rPr>
      <w:color w:val="75787B"/>
      <w:spacing w:val="-3"/>
      <w:szCs w:val="18"/>
    </w:rPr>
  </w:style>
  <w:style w:type="paragraph" w:customStyle="1" w:styleId="SDWorxbodytext">
    <w:name w:val="SD Worx bodytext"/>
    <w:basedOn w:val="Normal"/>
    <w:link w:val="SDWorxbodytextChar"/>
    <w:uiPriority w:val="2"/>
    <w:qFormat/>
    <w:rsid w:val="00B10587"/>
    <w:rPr>
      <w:color w:val="75787B"/>
    </w:rPr>
  </w:style>
  <w:style w:type="paragraph" w:customStyle="1" w:styleId="Kader">
    <w:name w:val="Kader"/>
    <w:basedOn w:val="SDWorxbodytext"/>
    <w:next w:val="SDWorxbodytext"/>
    <w:link w:val="KaderChar"/>
    <w:uiPriority w:val="3"/>
    <w:qFormat/>
    <w:rsid w:val="00B10587"/>
    <w:pPr>
      <w:pBdr>
        <w:top w:val="single" w:sz="8" w:space="14" w:color="F6AA00"/>
        <w:left w:val="single" w:sz="8" w:space="14" w:color="F6AA00"/>
        <w:bottom w:val="single" w:sz="8" w:space="14" w:color="F6AA00"/>
        <w:right w:val="single" w:sz="8" w:space="14" w:color="F6AA00"/>
      </w:pBdr>
      <w:spacing w:before="260" w:after="260"/>
      <w:ind w:left="284" w:right="284"/>
    </w:pPr>
  </w:style>
  <w:style w:type="table" w:styleId="LightList-Accent1">
    <w:name w:val="Light List Accent 1"/>
    <w:aliases w:val="sdworx table 2"/>
    <w:basedOn w:val="TableNormal"/>
    <w:uiPriority w:val="61"/>
    <w:rsid w:val="00C652FE"/>
    <w:pPr>
      <w:spacing w:before="80" w:after="80"/>
    </w:pPr>
    <w:rPr>
      <w:rFonts w:ascii="Arial" w:hAnsi="Arial"/>
      <w:color w:val="75787B"/>
      <w:sz w:val="20"/>
      <w:szCs w:val="22"/>
    </w:rPr>
    <w:tblPr>
      <w:tblStyleRowBandSize w:val="1"/>
      <w:tblStyleColBandSize w:val="1"/>
      <w:tblBorders>
        <w:insideH w:val="single" w:sz="4" w:space="0" w:color="7C2855"/>
        <w:insideV w:val="single" w:sz="4" w:space="0" w:color="7C2855"/>
      </w:tblBorders>
    </w:tblPr>
    <w:tcPr>
      <w:shd w:val="clear" w:color="auto" w:fill="auto"/>
      <w:noWrap/>
    </w:tcPr>
    <w:tblStylePr w:type="firstRow">
      <w:pPr>
        <w:wordWrap/>
        <w:spacing w:beforeLines="0" w:before="80" w:beforeAutospacing="0" w:afterLines="0" w:after="80" w:afterAutospacing="0" w:line="240" w:lineRule="auto"/>
      </w:pPr>
      <w:rPr>
        <w:b/>
        <w:bCs/>
        <w:color w:val="C8C9C7" w:themeColor="background1"/>
        <w:sz w:val="22"/>
      </w:rPr>
      <w:tblPr/>
      <w:tcPr>
        <w:shd w:val="clear" w:color="auto" w:fill="7C2855"/>
      </w:tcPr>
    </w:tblStylePr>
    <w:tblStylePr w:type="lastRow">
      <w:pPr>
        <w:wordWrap/>
        <w:spacing w:beforeLines="30" w:before="30" w:beforeAutospacing="0" w:afterLines="30" w:after="30" w:afterAutospacing="0" w:line="240" w:lineRule="auto"/>
      </w:pPr>
      <w:rPr>
        <w:rFonts w:ascii="Arial" w:hAnsi="Arial"/>
        <w:b/>
        <w:bCs/>
        <w:i w:val="0"/>
        <w:iCs w:val="0"/>
        <w:color w:val="C8C9C7" w:themeColor="background1"/>
        <w:sz w:val="22"/>
      </w:rPr>
      <w:tblPr/>
      <w:tcPr>
        <w:shd w:val="clear" w:color="auto" w:fill="DC4405"/>
      </w:tcPr>
    </w:tblStylePr>
    <w:tblStylePr w:type="firstCol">
      <w:rPr>
        <w:b w:val="0"/>
        <w:bCs/>
      </w:rPr>
      <w:tblPr/>
      <w:tcPr>
        <w:tcBorders>
          <w:top w:val="nil"/>
          <w:left w:val="nil"/>
          <w:bottom w:val="nil"/>
          <w:right w:val="nil"/>
          <w:insideH w:val="nil"/>
          <w:insideV w:val="nil"/>
          <w:tl2br w:val="nil"/>
          <w:tr2bl w:val="nil"/>
        </w:tcBorders>
      </w:tc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2Horz">
      <w:tblPr/>
      <w:tcPr>
        <w:shd w:val="clear" w:color="auto" w:fill="BDBEBC" w:themeFill="background1" w:themeFillShade="F2"/>
      </w:tcPr>
    </w:tblStylePr>
  </w:style>
  <w:style w:type="paragraph" w:styleId="TOC1">
    <w:name w:val="toc 1"/>
    <w:basedOn w:val="Normal"/>
    <w:next w:val="Normal"/>
    <w:autoRedefine/>
    <w:uiPriority w:val="39"/>
    <w:unhideWhenUsed/>
    <w:rsid w:val="00785691"/>
    <w:pPr>
      <w:tabs>
        <w:tab w:val="right" w:pos="8392"/>
      </w:tabs>
      <w:spacing w:before="0" w:after="0" w:line="440" w:lineRule="exact"/>
    </w:pPr>
    <w:rPr>
      <w:bCs/>
      <w:color w:val="75787B"/>
      <w:sz w:val="22"/>
      <w:szCs w:val="22"/>
    </w:rPr>
  </w:style>
  <w:style w:type="paragraph" w:styleId="TOC2">
    <w:name w:val="toc 2"/>
    <w:basedOn w:val="Normal"/>
    <w:next w:val="Normal"/>
    <w:autoRedefine/>
    <w:uiPriority w:val="39"/>
    <w:unhideWhenUsed/>
    <w:rsid w:val="00C03CD1"/>
    <w:pPr>
      <w:tabs>
        <w:tab w:val="right" w:pos="8389"/>
      </w:tabs>
      <w:spacing w:before="0" w:after="0" w:line="440" w:lineRule="exact"/>
    </w:pPr>
    <w:rPr>
      <w:bCs/>
      <w:color w:val="75787B"/>
      <w:sz w:val="22"/>
      <w:szCs w:val="22"/>
    </w:rPr>
  </w:style>
  <w:style w:type="paragraph" w:styleId="TOC3">
    <w:name w:val="toc 3"/>
    <w:basedOn w:val="Normal"/>
    <w:next w:val="Normal"/>
    <w:autoRedefine/>
    <w:uiPriority w:val="39"/>
    <w:unhideWhenUsed/>
    <w:rsid w:val="00C03CD1"/>
    <w:pPr>
      <w:tabs>
        <w:tab w:val="right" w:pos="8389"/>
      </w:tabs>
      <w:spacing w:before="0" w:after="0" w:line="440" w:lineRule="exact"/>
    </w:pPr>
    <w:rPr>
      <w:color w:val="75787B"/>
      <w:sz w:val="22"/>
      <w:szCs w:val="22"/>
    </w:rPr>
  </w:style>
  <w:style w:type="paragraph" w:styleId="TOC4">
    <w:name w:val="toc 4"/>
    <w:basedOn w:val="Normal"/>
    <w:next w:val="Normal"/>
    <w:autoRedefine/>
    <w:uiPriority w:val="39"/>
    <w:unhideWhenUsed/>
    <w:rsid w:val="00C03CD1"/>
    <w:rPr>
      <w:rFonts w:asciiTheme="minorHAnsi" w:hAnsiTheme="minorHAnsi"/>
      <w:sz w:val="22"/>
      <w:szCs w:val="22"/>
    </w:rPr>
  </w:style>
  <w:style w:type="paragraph" w:styleId="TOCHeading">
    <w:name w:val="TOC Heading"/>
    <w:next w:val="TOC1"/>
    <w:autoRedefine/>
    <w:uiPriority w:val="39"/>
    <w:unhideWhenUsed/>
    <w:qFormat/>
    <w:rsid w:val="00E12088"/>
    <w:pPr>
      <w:spacing w:after="400"/>
      <w:jc w:val="center"/>
    </w:pPr>
    <w:rPr>
      <w:rFonts w:ascii="Arial" w:eastAsiaTheme="majorEastAsia" w:hAnsi="Arial" w:cstheme="majorBidi"/>
      <w:b/>
      <w:color w:val="7C2855"/>
      <w:sz w:val="32"/>
      <w:szCs w:val="28"/>
      <w:lang w:val="nl-NL"/>
    </w:rPr>
  </w:style>
  <w:style w:type="character" w:styleId="PageNumber">
    <w:name w:val="page number"/>
    <w:basedOn w:val="DefaultParagraphFont"/>
    <w:uiPriority w:val="99"/>
    <w:semiHidden/>
    <w:unhideWhenUsed/>
    <w:rsid w:val="004119C2"/>
  </w:style>
  <w:style w:type="paragraph" w:styleId="Header">
    <w:name w:val="header"/>
    <w:basedOn w:val="Normal"/>
    <w:link w:val="HeaderChar"/>
    <w:uiPriority w:val="99"/>
    <w:unhideWhenUsed/>
    <w:rsid w:val="00B46B9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46B96"/>
    <w:rPr>
      <w:rFonts w:ascii="Arial" w:hAnsi="Arial"/>
      <w:color w:val="404040"/>
      <w:sz w:val="20"/>
      <w:lang w:val="nl-NL"/>
    </w:rPr>
  </w:style>
  <w:style w:type="paragraph" w:styleId="FootnoteText">
    <w:name w:val="footnote text"/>
    <w:basedOn w:val="Normal"/>
    <w:link w:val="FootnoteTextChar"/>
    <w:uiPriority w:val="99"/>
    <w:unhideWhenUsed/>
    <w:rsid w:val="00B10587"/>
    <w:pPr>
      <w:spacing w:before="0" w:after="80" w:line="240" w:lineRule="auto"/>
    </w:pPr>
    <w:rPr>
      <w:color w:val="75787B"/>
      <w:sz w:val="18"/>
    </w:rPr>
  </w:style>
  <w:style w:type="character" w:customStyle="1" w:styleId="FootnoteTextChar">
    <w:name w:val="Footnote Text Char"/>
    <w:basedOn w:val="DefaultParagraphFont"/>
    <w:link w:val="FootnoteText"/>
    <w:uiPriority w:val="99"/>
    <w:rsid w:val="00820499"/>
    <w:rPr>
      <w:rFonts w:ascii="Arial" w:hAnsi="Arial"/>
      <w:color w:val="75787B"/>
      <w:sz w:val="18"/>
      <w:lang w:val="nl-NL"/>
    </w:rPr>
  </w:style>
  <w:style w:type="character" w:styleId="FootnoteReference">
    <w:name w:val="footnote reference"/>
    <w:basedOn w:val="DefaultParagraphFont"/>
    <w:uiPriority w:val="99"/>
    <w:unhideWhenUsed/>
    <w:rsid w:val="003246D7"/>
    <w:rPr>
      <w:color w:val="75787B"/>
      <w:vertAlign w:val="superscript"/>
    </w:rPr>
  </w:style>
  <w:style w:type="paragraph" w:styleId="Footer">
    <w:name w:val="footer"/>
    <w:basedOn w:val="Normal"/>
    <w:link w:val="FooterChar"/>
    <w:uiPriority w:val="99"/>
    <w:unhideWhenUsed/>
    <w:rsid w:val="00F8214E"/>
    <w:pPr>
      <w:pBdr>
        <w:top w:val="single" w:sz="8" w:space="16" w:color="A5A7A9"/>
      </w:pBdr>
      <w:spacing w:before="0" w:after="80" w:line="240" w:lineRule="auto"/>
      <w:ind w:firstLine="1701"/>
    </w:pPr>
    <w:rPr>
      <w:color w:val="75787B"/>
      <w:sz w:val="16"/>
    </w:rPr>
  </w:style>
  <w:style w:type="character" w:customStyle="1" w:styleId="FooterChar">
    <w:name w:val="Footer Char"/>
    <w:basedOn w:val="DefaultParagraphFont"/>
    <w:link w:val="Footer"/>
    <w:uiPriority w:val="99"/>
    <w:rsid w:val="00F8214E"/>
    <w:rPr>
      <w:rFonts w:ascii="Arial" w:hAnsi="Arial"/>
      <w:color w:val="75787B"/>
      <w:sz w:val="16"/>
      <w:lang w:val="nl-NL"/>
    </w:rPr>
  </w:style>
  <w:style w:type="character" w:customStyle="1" w:styleId="KaderChar">
    <w:name w:val="Kader Char"/>
    <w:basedOn w:val="DefaultParagraphFont"/>
    <w:link w:val="Kader"/>
    <w:uiPriority w:val="3"/>
    <w:rsid w:val="00B10587"/>
    <w:rPr>
      <w:rFonts w:ascii="Arial" w:hAnsi="Arial"/>
      <w:color w:val="75787B"/>
      <w:sz w:val="20"/>
      <w:lang w:val="nl-NL"/>
    </w:rPr>
  </w:style>
  <w:style w:type="character" w:customStyle="1" w:styleId="Heading4Char">
    <w:name w:val="Heading 4 Char"/>
    <w:basedOn w:val="DefaultParagraphFont"/>
    <w:link w:val="Heading4"/>
    <w:uiPriority w:val="9"/>
    <w:rsid w:val="00C03CD1"/>
    <w:rPr>
      <w:rFonts w:ascii="Arial" w:eastAsiaTheme="majorEastAsia" w:hAnsi="Arial" w:cstheme="majorBidi"/>
      <w:color w:val="5C1E3F" w:themeColor="accent1" w:themeShade="BF"/>
      <w:sz w:val="20"/>
      <w:lang w:val="nl-NL"/>
    </w:rPr>
  </w:style>
  <w:style w:type="character" w:customStyle="1" w:styleId="Heading5Char">
    <w:name w:val="Heading 5 Char"/>
    <w:basedOn w:val="DefaultParagraphFont"/>
    <w:link w:val="Heading5"/>
    <w:uiPriority w:val="9"/>
    <w:rsid w:val="00C03CD1"/>
    <w:rPr>
      <w:rFonts w:asciiTheme="majorHAnsi" w:eastAsiaTheme="majorEastAsia" w:hAnsiTheme="majorHAnsi" w:cstheme="majorBidi"/>
      <w:color w:val="DC4405"/>
      <w:sz w:val="20"/>
      <w:lang w:val="nl-NL"/>
    </w:rPr>
  </w:style>
  <w:style w:type="paragraph" w:styleId="ListBullet">
    <w:name w:val="List Bullet"/>
    <w:basedOn w:val="Normal"/>
    <w:uiPriority w:val="99"/>
    <w:semiHidden/>
    <w:unhideWhenUsed/>
    <w:rsid w:val="003D4226"/>
    <w:pPr>
      <w:numPr>
        <w:numId w:val="2"/>
      </w:numPr>
      <w:contextualSpacing/>
    </w:pPr>
  </w:style>
  <w:style w:type="table" w:styleId="TableGridLight">
    <w:name w:val="Grid Table Light"/>
    <w:basedOn w:val="TableNormal"/>
    <w:uiPriority w:val="40"/>
    <w:rsid w:val="007E7B1F"/>
    <w:pPr>
      <w:spacing w:before="80" w:after="80"/>
      <w:jc w:val="right"/>
    </w:pPr>
    <w:rPr>
      <w:rFonts w:asciiTheme="minorHAnsi" w:hAnsiTheme="minorHAnsi"/>
      <w:color w:val="75787B"/>
      <w:sz w:val="20"/>
    </w:rPr>
    <w:tblPr>
      <w:tblBorders>
        <w:insideH w:val="single" w:sz="4" w:space="0" w:color="7C2855" w:themeColor="text2"/>
        <w:insideV w:val="single" w:sz="4" w:space="0" w:color="7C2855" w:themeColor="text2"/>
      </w:tblBorders>
    </w:tblPr>
    <w:tcPr>
      <w:vAlign w:val="center"/>
    </w:tcPr>
    <w:tblStylePr w:type="firstRow">
      <w:rPr>
        <w:rFonts w:asciiTheme="minorHAnsi" w:hAnsiTheme="minorHAnsi"/>
        <w:b/>
        <w:i w:val="0"/>
        <w:color w:val="7C2855" w:themeColor="text2"/>
        <w:sz w:val="22"/>
      </w:rPr>
    </w:tblStylePr>
    <w:tblStylePr w:type="lastRow">
      <w:rPr>
        <w:b/>
        <w:color w:val="F3F4F3" w:themeColor="background1" w:themeTint="33"/>
      </w:rPr>
      <w:tblPr/>
      <w:tcPr>
        <w:tcBorders>
          <w:insideV w:val="single" w:sz="8" w:space="0" w:color="F3F4F3" w:themeColor="background1" w:themeTint="33"/>
        </w:tcBorders>
        <w:shd w:val="clear" w:color="auto" w:fill="7C2855" w:themeFill="text2"/>
      </w:tcPr>
    </w:tblStylePr>
    <w:tblStylePr w:type="firstCol">
      <w:pPr>
        <w:wordWrap/>
        <w:jc w:val="left"/>
      </w:pPr>
    </w:tblStylePr>
  </w:style>
  <w:style w:type="table" w:styleId="PlainTable1">
    <w:name w:val="Plain Table 1"/>
    <w:basedOn w:val="TableNormal"/>
    <w:uiPriority w:val="41"/>
    <w:rsid w:val="000C4998"/>
    <w:pPr>
      <w:spacing w:before="80" w:after="80"/>
    </w:pPr>
    <w:rPr>
      <w:rFonts w:asciiTheme="minorHAnsi" w:hAnsiTheme="minorHAnsi"/>
      <w:color w:val="75787B"/>
      <w:sz w:val="20"/>
    </w:rPr>
    <w:tblPr>
      <w:tblStyleRowBandSize w:val="1"/>
      <w:tblStyleColBandSize w:val="1"/>
      <w:tblBorders>
        <w:insideH w:val="single" w:sz="4" w:space="0" w:color="7C2855" w:themeColor="text2"/>
        <w:insideV w:val="single" w:sz="4" w:space="0" w:color="7C2855" w:themeColor="text2"/>
      </w:tblBorders>
    </w:tblPr>
    <w:tcPr>
      <w:shd w:val="clear" w:color="auto" w:fill="auto"/>
      <w:vAlign w:val="center"/>
    </w:tcPr>
    <w:tblStylePr w:type="firstRow">
      <w:rPr>
        <w:rFonts w:asciiTheme="minorHAnsi" w:hAnsiTheme="minorHAnsi"/>
        <w:b/>
        <w:bCs/>
        <w:color w:val="BDBEBC"/>
        <w:sz w:val="22"/>
      </w:rPr>
      <w:tblPr/>
      <w:tcPr>
        <w:tcBorders>
          <w:top w:val="nil"/>
          <w:left w:val="nil"/>
          <w:bottom w:val="nil"/>
          <w:right w:val="nil"/>
          <w:insideH w:val="nil"/>
          <w:insideV w:val="nil"/>
          <w:tl2br w:val="nil"/>
          <w:tr2bl w:val="nil"/>
        </w:tcBorders>
        <w:shd w:val="clear" w:color="auto" w:fill="7C2855" w:themeFill="text2"/>
      </w:tcPr>
    </w:tblStylePr>
    <w:tblStylePr w:type="lastRow">
      <w:rPr>
        <w:rFonts w:asciiTheme="minorHAnsi" w:hAnsiTheme="minorHAnsi"/>
        <w:b/>
        <w:bCs/>
        <w:color w:val="BDBEBC"/>
        <w:sz w:val="22"/>
      </w:rPr>
      <w:tblPr/>
      <w:tcPr>
        <w:shd w:val="clear" w:color="auto" w:fill="DC4405" w:themeFill="accent2"/>
      </w:tcPr>
    </w:tblStylePr>
    <w:tblStylePr w:type="firstCol">
      <w:rPr>
        <w:b/>
        <w:bCs/>
      </w:rPr>
    </w:tblStylePr>
    <w:tblStylePr w:type="lastCol">
      <w:rPr>
        <w:b/>
        <w:bCs/>
      </w:rPr>
    </w:tblStylePr>
    <w:tblStylePr w:type="band2Horz">
      <w:tblPr/>
      <w:tcPr>
        <w:shd w:val="clear" w:color="auto" w:fill="BDBEBC"/>
      </w:tcPr>
    </w:tblStylePr>
  </w:style>
  <w:style w:type="table" w:styleId="PlainTable2">
    <w:name w:val="Plain Table 2"/>
    <w:basedOn w:val="TableNormal"/>
    <w:uiPriority w:val="42"/>
    <w:rsid w:val="001927BC"/>
    <w:pPr>
      <w:spacing w:before="80" w:after="80"/>
      <w:jc w:val="right"/>
    </w:pPr>
    <w:rPr>
      <w:rFonts w:asciiTheme="minorHAnsi" w:hAnsiTheme="minorHAnsi"/>
      <w:color w:val="75787B"/>
      <w:sz w:val="20"/>
    </w:rPr>
    <w:tblPr>
      <w:tblStyleRowBandSize w:val="1"/>
      <w:tblStyleColBandSize w:val="1"/>
      <w:tblBorders>
        <w:left w:val="single" w:sz="4" w:space="0" w:color="75787B"/>
        <w:right w:val="single" w:sz="4" w:space="0" w:color="75787B"/>
        <w:insideV w:val="single" w:sz="4" w:space="0" w:color="7C2855" w:themeColor="text2"/>
      </w:tblBorders>
    </w:tblPr>
    <w:tcPr>
      <w:shd w:val="clear" w:color="auto" w:fill="auto"/>
      <w:vAlign w:val="center"/>
    </w:tcPr>
    <w:tblStylePr w:type="firstRow">
      <w:rPr>
        <w:b/>
        <w:bCs/>
        <w:color w:val="7C2855" w:themeColor="text2"/>
      </w:rPr>
      <w:tblPr/>
      <w:tcPr>
        <w:tcBorders>
          <w:top w:val="nil"/>
          <w:left w:val="nil"/>
          <w:bottom w:val="nil"/>
          <w:right w:val="nil"/>
          <w:insideH w:val="nil"/>
          <w:insideV w:val="single" w:sz="4" w:space="0" w:color="7C2855" w:themeColor="text2"/>
          <w:tl2br w:val="nil"/>
          <w:tr2bl w:val="nil"/>
        </w:tcBorders>
        <w:shd w:val="clear" w:color="auto" w:fill="auto"/>
      </w:tcPr>
    </w:tblStylePr>
    <w:tblStylePr w:type="lastRow">
      <w:rPr>
        <w:b/>
        <w:bCs/>
      </w:rPr>
      <w:tblPr/>
      <w:tcPr>
        <w:tcBorders>
          <w:insideV w:val="single" w:sz="4" w:space="0" w:color="7C2855" w:themeColor="text2"/>
        </w:tcBorders>
        <w:shd w:val="clear" w:color="auto" w:fill="DCDCDC"/>
      </w:tcPr>
    </w:tblStylePr>
    <w:tblStylePr w:type="firstCol">
      <w:pPr>
        <w:jc w:val="left"/>
      </w:pPr>
      <w:rPr>
        <w:b/>
        <w:bCs/>
      </w:rPr>
      <w:tblPr/>
      <w:tcPr>
        <w:tcBorders>
          <w:top w:val="nil"/>
          <w:left w:val="nil"/>
          <w:bottom w:val="nil"/>
          <w:right w:val="nil"/>
          <w:insideH w:val="nil"/>
          <w:insideV w:val="single" w:sz="4" w:space="0" w:color="7C2855" w:themeColor="text2"/>
          <w:tl2br w:val="nil"/>
          <w:tr2bl w:val="nil"/>
        </w:tcBorders>
        <w:shd w:val="clear" w:color="auto" w:fill="auto"/>
      </w:tcPr>
    </w:tblStylePr>
    <w:tblStylePr w:type="lastCol">
      <w:rPr>
        <w:b/>
        <w:bCs/>
      </w:rPr>
      <w:tblPr/>
      <w:tcPr>
        <w:tcBorders>
          <w:top w:val="single" w:sz="4" w:space="0" w:color="7C2855" w:themeColor="text2"/>
          <w:left w:val="single" w:sz="4" w:space="0" w:color="7C2855" w:themeColor="text2"/>
          <w:bottom w:val="single" w:sz="4" w:space="0" w:color="7C2855" w:themeColor="text2"/>
          <w:right w:val="nil"/>
          <w:insideH w:val="single" w:sz="4" w:space="0" w:color="7C2855" w:themeColor="text2"/>
          <w:insideV w:val="single" w:sz="4" w:space="0" w:color="7C2855" w:themeColor="text2"/>
        </w:tcBorders>
        <w:shd w:val="clear" w:color="auto" w:fill="auto"/>
      </w:tcPr>
    </w:tblStylePr>
    <w:tblStylePr w:type="band1Vert">
      <w:tblPr/>
      <w:tcPr>
        <w:tcBorders>
          <w:top w:val="nil"/>
          <w:left w:val="single" w:sz="4" w:space="0" w:color="75787B"/>
          <w:bottom w:val="nil"/>
          <w:right w:val="single" w:sz="4" w:space="0" w:color="75787B"/>
          <w:insideH w:val="nil"/>
          <w:insideV w:val="nil"/>
          <w:tl2br w:val="nil"/>
          <w:tr2bl w:val="nil"/>
        </w:tcBorders>
        <w:shd w:val="clear" w:color="auto" w:fill="auto"/>
      </w:tcPr>
    </w:tblStylePr>
    <w:tblStylePr w:type="band2Vert">
      <w:tblPr/>
      <w:tcPr>
        <w:tcBorders>
          <w:top w:val="nil"/>
          <w:left w:val="nil"/>
          <w:bottom w:val="nil"/>
          <w:right w:val="nil"/>
          <w:insideH w:val="nil"/>
          <w:insideV w:val="single" w:sz="4" w:space="0" w:color="7C2855" w:themeColor="text2"/>
          <w:tl2br w:val="nil"/>
          <w:tr2bl w:val="nil"/>
        </w:tcBorders>
        <w:shd w:val="clear" w:color="auto" w:fill="auto"/>
      </w:tcPr>
    </w:tblStylePr>
    <w:tblStylePr w:type="band1Horz">
      <w:tblPr/>
      <w:tcPr>
        <w:tcBorders>
          <w:top w:val="nil"/>
          <w:left w:val="nil"/>
          <w:bottom w:val="nil"/>
          <w:right w:val="nil"/>
          <w:insideH w:val="nil"/>
          <w:insideV w:val="single" w:sz="4" w:space="0" w:color="7C2855" w:themeColor="text2"/>
          <w:tl2br w:val="nil"/>
          <w:tr2bl w:val="nil"/>
        </w:tcBorders>
        <w:shd w:val="clear" w:color="auto" w:fill="auto"/>
      </w:tcPr>
    </w:tblStylePr>
    <w:tblStylePr w:type="band2Horz">
      <w:tblPr/>
      <w:tcPr>
        <w:tcBorders>
          <w:top w:val="nil"/>
          <w:left w:val="nil"/>
          <w:bottom w:val="nil"/>
          <w:right w:val="nil"/>
          <w:insideH w:val="nil"/>
          <w:insideV w:val="single" w:sz="4" w:space="0" w:color="7C2855" w:themeColor="text2"/>
          <w:tl2br w:val="nil"/>
          <w:tr2bl w:val="nil"/>
        </w:tcBorders>
        <w:shd w:val="clear" w:color="auto" w:fill="auto"/>
      </w:tcPr>
    </w:tblStylePr>
  </w:style>
  <w:style w:type="paragraph" w:styleId="BalloonText">
    <w:name w:val="Balloon Text"/>
    <w:basedOn w:val="Normal"/>
    <w:link w:val="BalloonTextChar"/>
    <w:uiPriority w:val="99"/>
    <w:semiHidden/>
    <w:unhideWhenUsed/>
    <w:rsid w:val="00A7073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37"/>
    <w:rPr>
      <w:rFonts w:ascii="Segoe UI" w:hAnsi="Segoe UI" w:cs="Segoe UI"/>
      <w:sz w:val="18"/>
      <w:szCs w:val="18"/>
      <w:lang w:val="nl-NL"/>
    </w:rPr>
  </w:style>
  <w:style w:type="paragraph" w:styleId="Caption">
    <w:name w:val="caption"/>
    <w:basedOn w:val="Normal"/>
    <w:uiPriority w:val="35"/>
    <w:unhideWhenUsed/>
    <w:qFormat/>
    <w:rsid w:val="00AF2654"/>
    <w:pPr>
      <w:spacing w:before="0" w:after="200" w:line="240" w:lineRule="auto"/>
    </w:pPr>
    <w:rPr>
      <w:i/>
      <w:iCs/>
      <w:color w:val="75787B"/>
      <w:sz w:val="18"/>
      <w:szCs w:val="18"/>
    </w:rPr>
  </w:style>
  <w:style w:type="character" w:styleId="PlaceholderText">
    <w:name w:val="Placeholder Text"/>
    <w:basedOn w:val="DefaultParagraphFont"/>
    <w:uiPriority w:val="99"/>
    <w:semiHidden/>
    <w:rsid w:val="00DA46B9"/>
    <w:rPr>
      <w:color w:val="808080"/>
    </w:rPr>
  </w:style>
  <w:style w:type="table" w:styleId="PlainTable3">
    <w:name w:val="Plain Table 3"/>
    <w:basedOn w:val="TableNormal"/>
    <w:uiPriority w:val="43"/>
    <w:rsid w:val="004F10FD"/>
    <w:pPr>
      <w:jc w:val="right"/>
    </w:pPr>
    <w:rPr>
      <w:rFonts w:asciiTheme="minorHAnsi" w:hAnsiTheme="minorHAnsi"/>
      <w:color w:val="75787B"/>
      <w:sz w:val="20"/>
    </w:rPr>
    <w:tblPr>
      <w:tblStyleRowBandSize w:val="1"/>
      <w:tblStyleColBandSize w:val="1"/>
      <w:tblBorders>
        <w:insideH w:val="single" w:sz="4" w:space="0" w:color="7C2855" w:themeColor="text2"/>
        <w:insideV w:val="single" w:sz="4" w:space="0" w:color="7C2855" w:themeColor="text2"/>
      </w:tblBorders>
    </w:tblPr>
    <w:tcPr>
      <w:vAlign w:val="center"/>
    </w:tcPr>
    <w:tblStylePr w:type="firstRow">
      <w:rPr>
        <w:b/>
        <w:bCs/>
        <w:caps w:val="0"/>
        <w:smallCaps w:val="0"/>
        <w:color w:val="FFFFFF"/>
      </w:rPr>
      <w:tblPr/>
      <w:tcPr>
        <w:tcBorders>
          <w:insideV w:val="single" w:sz="4" w:space="0" w:color="FFFFFF"/>
        </w:tcBorders>
        <w:shd w:val="clear" w:color="auto" w:fill="7C2855" w:themeFill="text2"/>
      </w:tcPr>
    </w:tblStylePr>
    <w:tblStylePr w:type="lastRow">
      <w:rPr>
        <w:b/>
        <w:bCs/>
        <w:caps/>
        <w:color w:val="7C2855" w:themeColor="text2"/>
      </w:rPr>
      <w:tblPr/>
      <w:tcPr>
        <w:tcBorders>
          <w:top w:val="nil"/>
          <w:left w:val="nil"/>
          <w:bottom w:val="single" w:sz="4" w:space="0" w:color="7C2855" w:themeColor="text2"/>
          <w:right w:val="nil"/>
          <w:insideH w:val="single" w:sz="4" w:space="0" w:color="7C2855" w:themeColor="text2"/>
          <w:insideV w:val="single" w:sz="4" w:space="0" w:color="7C2855" w:themeColor="text2"/>
          <w:tl2br w:val="nil"/>
          <w:tr2bl w:val="nil"/>
        </w:tcBorders>
      </w:tcPr>
    </w:tblStylePr>
    <w:tblStylePr w:type="firstCol">
      <w:pPr>
        <w:jc w:val="left"/>
      </w:pPr>
      <w:rPr>
        <w:b/>
        <w:bCs/>
        <w:caps w:val="0"/>
      </w:rPr>
      <w:tblPr/>
      <w:tcPr>
        <w:tcBorders>
          <w:top w:val="nil"/>
          <w:left w:val="nil"/>
          <w:bottom w:val="nil"/>
          <w:right w:val="nil"/>
          <w:insideH w:val="single" w:sz="4" w:space="0" w:color="7C2855" w:themeColor="text2"/>
          <w:insideV w:val="single" w:sz="4" w:space="0" w:color="7C2855" w:themeColor="text2"/>
          <w:tl2br w:val="nil"/>
          <w:tr2bl w:val="nil"/>
        </w:tcBorders>
      </w:tcPr>
    </w:tblStylePr>
    <w:tblStylePr w:type="lastCol">
      <w:rPr>
        <w:b/>
        <w:bCs/>
        <w:caps/>
      </w:rPr>
      <w:tblPr/>
      <w:tcPr>
        <w:tcBorders>
          <w:top w:val="nil"/>
          <w:left w:val="nil"/>
          <w:bottom w:val="nil"/>
          <w:right w:val="nil"/>
          <w:insideH w:val="single" w:sz="4" w:space="0" w:color="7C2855" w:themeColor="text2"/>
          <w:insideV w:val="single" w:sz="4" w:space="0" w:color="7C2855" w:themeColor="text2"/>
          <w:tl2br w:val="nil"/>
          <w:tr2bl w:val="nil"/>
        </w:tcBorders>
      </w:tcPr>
    </w:tblStylePr>
    <w:tblStylePr w:type="band1Vert">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cBorders>
      </w:tcPr>
    </w:tblStylePr>
    <w:tblStylePr w:type="band2Vert">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cBorders>
      </w:tcPr>
    </w:tblStylePr>
    <w:tblStylePr w:type="band1Horz">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cBorders>
      </w:tcPr>
    </w:tblStylePr>
    <w:tblStylePr w:type="band2Horz">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C03CD1"/>
    <w:pPr>
      <w:spacing w:before="0" w:after="0" w:line="240" w:lineRule="auto"/>
    </w:pPr>
    <w:rPr>
      <w:szCs w:val="20"/>
    </w:rPr>
  </w:style>
  <w:style w:type="character" w:customStyle="1" w:styleId="EndnoteTextChar">
    <w:name w:val="Endnote Text Char"/>
    <w:basedOn w:val="DefaultParagraphFont"/>
    <w:link w:val="EndnoteText"/>
    <w:uiPriority w:val="99"/>
    <w:semiHidden/>
    <w:rsid w:val="00C03CD1"/>
    <w:rPr>
      <w:rFonts w:ascii="Arial" w:hAnsi="Arial"/>
      <w:sz w:val="20"/>
      <w:szCs w:val="20"/>
      <w:lang w:val="nl-NL"/>
    </w:rPr>
  </w:style>
  <w:style w:type="character" w:styleId="EndnoteReference">
    <w:name w:val="endnote reference"/>
    <w:basedOn w:val="DefaultParagraphFont"/>
    <w:uiPriority w:val="99"/>
    <w:semiHidden/>
    <w:unhideWhenUsed/>
    <w:rsid w:val="00C03CD1"/>
    <w:rPr>
      <w:vertAlign w:val="superscript"/>
    </w:rPr>
  </w:style>
  <w:style w:type="paragraph" w:styleId="NoSpacing">
    <w:name w:val="No Spacing"/>
    <w:uiPriority w:val="1"/>
    <w:qFormat/>
    <w:rsid w:val="00A723D5"/>
    <w:rPr>
      <w:rFonts w:ascii="Century Gothic" w:eastAsiaTheme="minorHAnsi" w:hAnsi="Century Gothic"/>
      <w:sz w:val="22"/>
      <w:szCs w:val="22"/>
      <w:lang w:val="nl-BE"/>
    </w:rPr>
  </w:style>
  <w:style w:type="paragraph" w:styleId="CommentText">
    <w:name w:val="annotation text"/>
    <w:basedOn w:val="Normal"/>
    <w:link w:val="CommentTextChar"/>
    <w:uiPriority w:val="99"/>
    <w:unhideWhenUsed/>
    <w:rsid w:val="00E349CE"/>
    <w:pPr>
      <w:spacing w:line="240" w:lineRule="auto"/>
    </w:pPr>
    <w:rPr>
      <w:szCs w:val="20"/>
    </w:rPr>
  </w:style>
  <w:style w:type="character" w:customStyle="1" w:styleId="CommentTextChar">
    <w:name w:val="Comment Text Char"/>
    <w:basedOn w:val="DefaultParagraphFont"/>
    <w:link w:val="CommentText"/>
    <w:uiPriority w:val="99"/>
    <w:rsid w:val="00E349CE"/>
    <w:rPr>
      <w:rFonts w:ascii="Arial" w:hAnsi="Arial"/>
      <w:sz w:val="20"/>
      <w:szCs w:val="20"/>
      <w:lang w:val="nl-NL"/>
    </w:rPr>
  </w:style>
  <w:style w:type="character" w:styleId="CommentReference">
    <w:name w:val="annotation reference"/>
    <w:basedOn w:val="DefaultParagraphFont"/>
    <w:uiPriority w:val="99"/>
    <w:unhideWhenUsed/>
    <w:rsid w:val="00E349CE"/>
    <w:rPr>
      <w:sz w:val="16"/>
      <w:szCs w:val="16"/>
    </w:rPr>
  </w:style>
  <w:style w:type="paragraph" w:styleId="Title">
    <w:name w:val="Title"/>
    <w:basedOn w:val="Normal"/>
    <w:next w:val="Normal"/>
    <w:link w:val="TitleChar"/>
    <w:uiPriority w:val="10"/>
    <w:qFormat/>
    <w:rsid w:val="00F34CF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FA"/>
    <w:rPr>
      <w:rFonts w:asciiTheme="majorHAnsi" w:eastAsiaTheme="majorEastAsia" w:hAnsiTheme="majorHAnsi" w:cstheme="majorBidi"/>
      <w:spacing w:val="-10"/>
      <w:kern w:val="28"/>
      <w:sz w:val="56"/>
      <w:szCs w:val="56"/>
      <w:lang w:val="nl-NL"/>
    </w:rPr>
  </w:style>
  <w:style w:type="paragraph" w:styleId="Revision">
    <w:name w:val="Revision"/>
    <w:hidden/>
    <w:uiPriority w:val="99"/>
    <w:semiHidden/>
    <w:rsid w:val="00A63D85"/>
    <w:rPr>
      <w:rFonts w:ascii="Arial" w:hAnsi="Arial"/>
      <w:sz w:val="20"/>
      <w:lang w:val="nl-NL"/>
    </w:rPr>
  </w:style>
  <w:style w:type="paragraph" w:styleId="CommentSubject">
    <w:name w:val="annotation subject"/>
    <w:basedOn w:val="CommentText"/>
    <w:next w:val="CommentText"/>
    <w:link w:val="CommentSubjectChar"/>
    <w:uiPriority w:val="99"/>
    <w:semiHidden/>
    <w:unhideWhenUsed/>
    <w:rsid w:val="007D0909"/>
    <w:rPr>
      <w:b/>
      <w:bCs/>
    </w:rPr>
  </w:style>
  <w:style w:type="character" w:customStyle="1" w:styleId="CommentSubjectChar">
    <w:name w:val="Comment Subject Char"/>
    <w:basedOn w:val="CommentTextChar"/>
    <w:link w:val="CommentSubject"/>
    <w:uiPriority w:val="99"/>
    <w:semiHidden/>
    <w:rsid w:val="007D0909"/>
    <w:rPr>
      <w:rFonts w:ascii="Arial" w:hAnsi="Arial"/>
      <w:b/>
      <w:bCs/>
      <w:sz w:val="20"/>
      <w:szCs w:val="20"/>
      <w:lang w:val="nl-NL"/>
    </w:rPr>
  </w:style>
  <w:style w:type="character" w:styleId="Mention">
    <w:name w:val="Mention"/>
    <w:basedOn w:val="DefaultParagraphFont"/>
    <w:uiPriority w:val="99"/>
    <w:unhideWhenUsed/>
    <w:rsid w:val="009873A3"/>
    <w:rPr>
      <w:color w:val="2B579A"/>
      <w:shd w:val="clear" w:color="auto" w:fill="E1DFDD"/>
    </w:rPr>
  </w:style>
  <w:style w:type="character" w:customStyle="1" w:styleId="Style1">
    <w:name w:val="Style1"/>
    <w:basedOn w:val="DefaultParagraphFont"/>
    <w:uiPriority w:val="1"/>
    <w:rsid w:val="00252BE5"/>
    <w:rPr>
      <w:b/>
    </w:rPr>
  </w:style>
  <w:style w:type="character" w:customStyle="1" w:styleId="Style2">
    <w:name w:val="Style2"/>
    <w:basedOn w:val="DefaultParagraphFont"/>
    <w:uiPriority w:val="1"/>
    <w:rsid w:val="00903925"/>
    <w:rPr>
      <w:b/>
    </w:rPr>
  </w:style>
  <w:style w:type="character" w:customStyle="1" w:styleId="Boldfillin">
    <w:name w:val="Bold fill in"/>
    <w:basedOn w:val="DefaultParagraphFont"/>
    <w:uiPriority w:val="1"/>
    <w:rsid w:val="00903925"/>
    <w:rPr>
      <w:b/>
    </w:rPr>
  </w:style>
  <w:style w:type="character" w:customStyle="1" w:styleId="Style3">
    <w:name w:val="Style3"/>
    <w:basedOn w:val="Boldfillin"/>
    <w:uiPriority w:val="1"/>
    <w:rsid w:val="00C2081C"/>
    <w:rPr>
      <w:rFonts w:asciiTheme="minorHAnsi" w:hAnsiTheme="minorHAnsi"/>
      <w:b/>
      <w:sz w:val="20"/>
    </w:rPr>
  </w:style>
  <w:style w:type="character" w:customStyle="1" w:styleId="SDstyle">
    <w:name w:val="SD style"/>
    <w:basedOn w:val="Boldfillin"/>
    <w:uiPriority w:val="1"/>
    <w:qFormat/>
    <w:rsid w:val="001103F5"/>
    <w:rPr>
      <w:b/>
    </w:rPr>
  </w:style>
  <w:style w:type="character" w:customStyle="1" w:styleId="Style4">
    <w:name w:val="Style4"/>
    <w:basedOn w:val="DefaultParagraphFont"/>
    <w:uiPriority w:val="1"/>
    <w:qFormat/>
    <w:rsid w:val="001103F5"/>
    <w:rPr>
      <w:rFonts w:asciiTheme="minorHAnsi" w:hAnsiTheme="minorHAnsi"/>
      <w:b/>
      <w:color w:val="75787B" w:themeColor="text1"/>
    </w:rPr>
  </w:style>
  <w:style w:type="paragraph" w:customStyle="1" w:styleId="Fillin">
    <w:name w:val="Fill in"/>
    <w:basedOn w:val="SDWorxbodytext"/>
    <w:link w:val="FillinChar"/>
    <w:uiPriority w:val="98"/>
    <w:qFormat/>
    <w:rsid w:val="001103F5"/>
    <w:pPr>
      <w:spacing w:line="360" w:lineRule="auto"/>
      <w:jc w:val="both"/>
    </w:pPr>
    <w:rPr>
      <w:b/>
      <w:color w:val="DC4405" w:themeColor="accent2"/>
    </w:rPr>
  </w:style>
  <w:style w:type="character" w:customStyle="1" w:styleId="SDWorxbodytextChar">
    <w:name w:val="SD Worx bodytext Char"/>
    <w:basedOn w:val="DefaultParagraphFont"/>
    <w:link w:val="SDWorxbodytext"/>
    <w:uiPriority w:val="2"/>
    <w:rsid w:val="001103F5"/>
    <w:rPr>
      <w:rFonts w:ascii="Arial" w:hAnsi="Arial"/>
      <w:color w:val="75787B"/>
      <w:sz w:val="20"/>
      <w:lang w:val="nl-NL"/>
    </w:rPr>
  </w:style>
  <w:style w:type="character" w:customStyle="1" w:styleId="FillinChar">
    <w:name w:val="Fill in Char"/>
    <w:basedOn w:val="SDWorxbodytextChar"/>
    <w:link w:val="Fillin"/>
    <w:uiPriority w:val="98"/>
    <w:rsid w:val="001103F5"/>
    <w:rPr>
      <w:rFonts w:ascii="Arial" w:hAnsi="Arial"/>
      <w:b/>
      <w:color w:val="DC4405" w:themeColor="accent2"/>
      <w:sz w:val="20"/>
      <w:lang w:val="nl-NL"/>
    </w:rPr>
  </w:style>
  <w:style w:type="paragraph" w:styleId="NormalWeb">
    <w:name w:val="Normal (Web)"/>
    <w:basedOn w:val="Normal"/>
    <w:uiPriority w:val="99"/>
    <w:semiHidden/>
    <w:unhideWhenUsed/>
    <w:rsid w:val="00B6616E"/>
    <w:pPr>
      <w:spacing w:before="100" w:beforeAutospacing="1" w:after="100" w:afterAutospacing="1" w:line="240" w:lineRule="auto"/>
    </w:pPr>
    <w:rPr>
      <w:rFonts w:ascii="Times New Roman" w:eastAsia="Times New Roman" w:hAnsi="Times New Roman" w:cs="Times New Roman"/>
      <w:sz w:val="24"/>
      <w:lang w:val="nl-BE" w:eastAsia="nl-BE"/>
    </w:rPr>
  </w:style>
  <w:style w:type="paragraph" w:styleId="HTMLPreformatted">
    <w:name w:val="HTML Preformatted"/>
    <w:basedOn w:val="Normal"/>
    <w:link w:val="HTMLPreformattedChar"/>
    <w:uiPriority w:val="99"/>
    <w:semiHidden/>
    <w:unhideWhenUsed/>
    <w:rsid w:val="0059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Cs w:val="20"/>
      <w:lang w:val="nl-BE" w:eastAsia="nl-BE"/>
    </w:rPr>
  </w:style>
  <w:style w:type="character" w:customStyle="1" w:styleId="HTMLPreformattedChar">
    <w:name w:val="HTML Preformatted Char"/>
    <w:basedOn w:val="DefaultParagraphFont"/>
    <w:link w:val="HTMLPreformatted"/>
    <w:uiPriority w:val="99"/>
    <w:semiHidden/>
    <w:rsid w:val="00595597"/>
    <w:rPr>
      <w:rFonts w:ascii="Courier New" w:eastAsia="Times New Roman" w:hAnsi="Courier New" w:cs="Courier New"/>
      <w:sz w:val="20"/>
      <w:szCs w:val="20"/>
      <w:lang w:val="nl-BE" w:eastAsia="nl-BE"/>
    </w:rPr>
  </w:style>
  <w:style w:type="character" w:customStyle="1" w:styleId="Heading6Char">
    <w:name w:val="Heading 6 Char"/>
    <w:basedOn w:val="DefaultParagraphFont"/>
    <w:link w:val="Heading6"/>
    <w:uiPriority w:val="9"/>
    <w:rsid w:val="000F5279"/>
    <w:rPr>
      <w:rFonts w:ascii="Arial" w:eastAsia="Calibri" w:hAnsi="Arial" w:cs="Times New Roman"/>
      <w:b/>
      <w:bCs/>
      <w:color w:val="595959"/>
      <w:spacing w:val="5"/>
      <w:sz w:val="22"/>
      <w:szCs w:val="22"/>
      <w:shd w:val="clear" w:color="auto" w:fill="FFFFFF"/>
      <w:lang w:val="nl-BE"/>
    </w:rPr>
  </w:style>
  <w:style w:type="character" w:customStyle="1" w:styleId="Heading7Char">
    <w:name w:val="Heading 7 Char"/>
    <w:basedOn w:val="DefaultParagraphFont"/>
    <w:link w:val="Heading7"/>
    <w:uiPriority w:val="9"/>
    <w:rsid w:val="000F5279"/>
    <w:rPr>
      <w:rFonts w:ascii="Arial" w:eastAsia="Calibri" w:hAnsi="Arial" w:cs="Times New Roman"/>
      <w:b/>
      <w:bCs/>
      <w:i/>
      <w:iCs/>
      <w:color w:val="5A5A5A"/>
      <w:sz w:val="16"/>
      <w:szCs w:val="20"/>
      <w:lang w:val="nl-BE"/>
    </w:rPr>
  </w:style>
  <w:style w:type="character" w:customStyle="1" w:styleId="Heading8Char">
    <w:name w:val="Heading 8 Char"/>
    <w:basedOn w:val="DefaultParagraphFont"/>
    <w:link w:val="Heading8"/>
    <w:uiPriority w:val="9"/>
    <w:rsid w:val="000F5279"/>
    <w:rPr>
      <w:rFonts w:ascii="Arial" w:eastAsia="Calibri" w:hAnsi="Arial" w:cs="Times New Roman"/>
      <w:b/>
      <w:bCs/>
      <w:color w:val="7F7F7F"/>
      <w:sz w:val="16"/>
      <w:szCs w:val="20"/>
      <w:lang w:val="nl-BE"/>
    </w:rPr>
  </w:style>
  <w:style w:type="character" w:customStyle="1" w:styleId="Heading9Char">
    <w:name w:val="Heading 9 Char"/>
    <w:basedOn w:val="DefaultParagraphFont"/>
    <w:link w:val="Heading9"/>
    <w:uiPriority w:val="9"/>
    <w:rsid w:val="000F5279"/>
    <w:rPr>
      <w:rFonts w:ascii="Arial" w:eastAsia="Calibri" w:hAnsi="Arial" w:cs="Times New Roman"/>
      <w:b/>
      <w:bCs/>
      <w:i/>
      <w:iCs/>
      <w:color w:val="7F7F7F"/>
      <w:sz w:val="16"/>
      <w:szCs w:val="18"/>
      <w:lang w:val="nl-BE"/>
    </w:rPr>
  </w:style>
  <w:style w:type="paragraph" w:styleId="NormalIndent">
    <w:name w:val="Normal Indent"/>
    <w:basedOn w:val="Normal"/>
    <w:uiPriority w:val="99"/>
    <w:semiHidden/>
    <w:unhideWhenUsed/>
    <w:rsid w:val="000F5279"/>
    <w:pPr>
      <w:spacing w:before="120" w:after="0" w:line="276" w:lineRule="auto"/>
      <w:ind w:left="708"/>
      <w:jc w:val="both"/>
    </w:pPr>
    <w:rPr>
      <w:rFonts w:eastAsia="Calibri" w:cs="Times New Roman"/>
      <w:sz w:val="16"/>
      <w:szCs w:val="22"/>
      <w:lang w:val="nl-BE"/>
    </w:rPr>
  </w:style>
  <w:style w:type="paragraph" w:customStyle="1" w:styleId="Nummering1">
    <w:name w:val="Nummering 1"/>
    <w:basedOn w:val="Normal"/>
    <w:uiPriority w:val="2"/>
    <w:qFormat/>
    <w:rsid w:val="000F5279"/>
    <w:pPr>
      <w:numPr>
        <w:numId w:val="6"/>
      </w:numPr>
      <w:spacing w:before="120" w:after="0" w:line="276" w:lineRule="auto"/>
      <w:jc w:val="both"/>
    </w:pPr>
    <w:rPr>
      <w:rFonts w:eastAsia="Calibri" w:cs="Times New Roman"/>
      <w:sz w:val="16"/>
      <w:szCs w:val="22"/>
      <w:lang w:val="nl-BE"/>
    </w:rPr>
  </w:style>
  <w:style w:type="paragraph" w:customStyle="1" w:styleId="Nummering2">
    <w:name w:val="Nummering 2"/>
    <w:basedOn w:val="Nummering1"/>
    <w:uiPriority w:val="2"/>
    <w:qFormat/>
    <w:rsid w:val="000F5279"/>
    <w:pPr>
      <w:numPr>
        <w:ilvl w:val="1"/>
      </w:numPr>
      <w:spacing w:before="0"/>
    </w:pPr>
  </w:style>
  <w:style w:type="paragraph" w:customStyle="1" w:styleId="Bijlagetitel">
    <w:name w:val="Bijlage  titel"/>
    <w:basedOn w:val="Normal"/>
    <w:next w:val="Normal"/>
    <w:link w:val="BijlagetitelChar"/>
    <w:autoRedefine/>
    <w:qFormat/>
    <w:rsid w:val="006A257B"/>
    <w:pPr>
      <w:keepNext/>
      <w:pBdr>
        <w:top w:val="single" w:sz="12" w:space="12" w:color="auto"/>
        <w:left w:val="single" w:sz="12" w:space="4" w:color="auto"/>
        <w:bottom w:val="single" w:sz="12" w:space="10" w:color="auto"/>
        <w:right w:val="single" w:sz="12" w:space="4" w:color="auto"/>
      </w:pBdr>
      <w:spacing w:before="120" w:line="276" w:lineRule="auto"/>
      <w:jc w:val="both"/>
      <w:outlineLvl w:val="0"/>
    </w:pPr>
    <w:rPr>
      <w:rFonts w:ascii="Aptos" w:eastAsia="Calibri" w:hAnsi="Aptos" w:cs="Times New Roman"/>
      <w:b/>
      <w:caps/>
      <w:szCs w:val="20"/>
      <w:lang w:val="nl-BE" w:eastAsia="nl-NL"/>
    </w:rPr>
  </w:style>
  <w:style w:type="paragraph" w:customStyle="1" w:styleId="Preambule">
    <w:name w:val="Preambule"/>
    <w:basedOn w:val="Normal"/>
    <w:next w:val="Normal"/>
    <w:uiPriority w:val="1"/>
    <w:qFormat/>
    <w:rsid w:val="000F5279"/>
    <w:pPr>
      <w:spacing w:before="240" w:line="276" w:lineRule="auto"/>
      <w:jc w:val="both"/>
    </w:pPr>
    <w:rPr>
      <w:rFonts w:eastAsia="Calibri" w:cs="Times New Roman"/>
      <w:b/>
      <w:i/>
      <w:caps/>
      <w:sz w:val="16"/>
      <w:szCs w:val="22"/>
      <w:lang w:val="nl-BE"/>
    </w:rPr>
  </w:style>
  <w:style w:type="character" w:styleId="Emphasis">
    <w:name w:val="Emphasis"/>
    <w:uiPriority w:val="1"/>
    <w:qFormat/>
    <w:rsid w:val="000F5279"/>
    <w:rPr>
      <w:rFonts w:ascii="Arial" w:hAnsi="Arial"/>
      <w:b/>
      <w:bCs/>
      <w:i w:val="0"/>
      <w:iCs/>
      <w:spacing w:val="0"/>
      <w:sz w:val="16"/>
    </w:rPr>
  </w:style>
  <w:style w:type="paragraph" w:styleId="IntenseQuote">
    <w:name w:val="Intense Quote"/>
    <w:aliases w:val="Aan te vullen"/>
    <w:basedOn w:val="Normal"/>
    <w:next w:val="Normal"/>
    <w:link w:val="IntenseQuoteChar"/>
    <w:uiPriority w:val="30"/>
    <w:qFormat/>
    <w:rsid w:val="000F5279"/>
    <w:pPr>
      <w:pBdr>
        <w:bottom w:val="single" w:sz="4" w:space="4" w:color="4F81BD"/>
      </w:pBdr>
      <w:spacing w:before="200" w:after="280" w:line="276" w:lineRule="auto"/>
      <w:ind w:left="936" w:right="936"/>
      <w:jc w:val="both"/>
    </w:pPr>
    <w:rPr>
      <w:rFonts w:eastAsia="Calibri" w:cs="Times New Roman"/>
      <w:b/>
      <w:bCs/>
      <w:iCs/>
      <w:color w:val="4F81BD"/>
      <w:sz w:val="16"/>
      <w:szCs w:val="22"/>
      <w:u w:val="single"/>
      <w:lang w:val="nl-BE"/>
    </w:rPr>
  </w:style>
  <w:style w:type="character" w:customStyle="1" w:styleId="IntenseQuoteChar">
    <w:name w:val="Intense Quote Char"/>
    <w:aliases w:val="Aan te vullen Char"/>
    <w:basedOn w:val="DefaultParagraphFont"/>
    <w:link w:val="IntenseQuote"/>
    <w:uiPriority w:val="30"/>
    <w:rsid w:val="000F5279"/>
    <w:rPr>
      <w:rFonts w:ascii="Arial" w:eastAsia="Calibri" w:hAnsi="Arial" w:cs="Times New Roman"/>
      <w:b/>
      <w:bCs/>
      <w:iCs/>
      <w:color w:val="4F81BD"/>
      <w:sz w:val="16"/>
      <w:szCs w:val="22"/>
      <w:u w:val="single"/>
      <w:lang w:val="nl-BE"/>
    </w:rPr>
  </w:style>
  <w:style w:type="character" w:styleId="SubtleEmphasis">
    <w:name w:val="Subtle Emphasis"/>
    <w:uiPriority w:val="19"/>
    <w:qFormat/>
    <w:rsid w:val="000F5279"/>
    <w:rPr>
      <w:rFonts w:ascii="Arial" w:hAnsi="Arial"/>
      <w:b/>
      <w:i/>
      <w:iCs/>
      <w:caps/>
      <w:smallCaps w:val="0"/>
      <w:sz w:val="24"/>
    </w:rPr>
  </w:style>
  <w:style w:type="character" w:customStyle="1" w:styleId="VerwijzingArtikel">
    <w:name w:val="Verwijzing Artikel"/>
    <w:uiPriority w:val="1"/>
    <w:qFormat/>
    <w:rsid w:val="000F5279"/>
    <w:rPr>
      <w:rFonts w:ascii="Arial" w:hAnsi="Arial"/>
      <w:u w:val="single"/>
    </w:rPr>
  </w:style>
  <w:style w:type="numbering" w:customStyle="1" w:styleId="SDWorxKoppen">
    <w:name w:val="SDWorx Koppen"/>
    <w:uiPriority w:val="99"/>
    <w:rsid w:val="000F5279"/>
    <w:pPr>
      <w:numPr>
        <w:numId w:val="8"/>
      </w:numPr>
    </w:pPr>
  </w:style>
  <w:style w:type="paragraph" w:customStyle="1" w:styleId="InspringingStandaard">
    <w:name w:val="Inspringing Standaard"/>
    <w:basedOn w:val="Normal"/>
    <w:autoRedefine/>
    <w:qFormat/>
    <w:rsid w:val="000F5279"/>
    <w:pPr>
      <w:spacing w:before="60" w:after="0" w:line="276" w:lineRule="auto"/>
      <w:ind w:left="851"/>
      <w:jc w:val="both"/>
    </w:pPr>
    <w:rPr>
      <w:rFonts w:eastAsia="Calibri" w:cs="Times New Roman"/>
      <w:sz w:val="16"/>
      <w:szCs w:val="22"/>
      <w:lang w:val="en-US"/>
    </w:rPr>
  </w:style>
  <w:style w:type="paragraph" w:styleId="ListNumber2">
    <w:name w:val="List Number 2"/>
    <w:basedOn w:val="Heading2"/>
    <w:link w:val="ListNumber2Char"/>
    <w:uiPriority w:val="99"/>
    <w:unhideWhenUsed/>
    <w:qFormat/>
    <w:rsid w:val="000F5279"/>
    <w:pPr>
      <w:keepNext w:val="0"/>
      <w:keepLines w:val="0"/>
      <w:spacing w:before="60" w:after="0" w:line="271" w:lineRule="auto"/>
      <w:jc w:val="both"/>
      <w:outlineLvl w:val="9"/>
    </w:pPr>
    <w:rPr>
      <w:rFonts w:eastAsia="Calibri" w:cs="Times New Roman"/>
      <w:bCs w:val="0"/>
      <w:color w:val="auto"/>
      <w:sz w:val="20"/>
      <w:szCs w:val="28"/>
      <w:lang w:val="nl-BE"/>
    </w:rPr>
  </w:style>
  <w:style w:type="paragraph" w:styleId="ListNumber3">
    <w:name w:val="List Number 3"/>
    <w:basedOn w:val="Heading3"/>
    <w:link w:val="ListNumber3Char"/>
    <w:uiPriority w:val="99"/>
    <w:unhideWhenUsed/>
    <w:qFormat/>
    <w:rsid w:val="000F5279"/>
    <w:pPr>
      <w:keepNext w:val="0"/>
      <w:keepLines w:val="0"/>
      <w:spacing w:before="60" w:after="0" w:line="271" w:lineRule="auto"/>
      <w:ind w:left="851" w:hanging="851"/>
      <w:jc w:val="both"/>
      <w:outlineLvl w:val="9"/>
    </w:pPr>
    <w:rPr>
      <w:rFonts w:eastAsia="Calibri" w:cs="Times New Roman"/>
      <w:bCs w:val="0"/>
      <w:iCs/>
      <w:color w:val="auto"/>
      <w:szCs w:val="26"/>
      <w:lang w:val="nl-BE"/>
    </w:rPr>
  </w:style>
  <w:style w:type="paragraph" w:styleId="ListNumber4">
    <w:name w:val="List Number 4"/>
    <w:basedOn w:val="Heading4"/>
    <w:link w:val="ListNumber4Char"/>
    <w:uiPriority w:val="99"/>
    <w:unhideWhenUsed/>
    <w:qFormat/>
    <w:rsid w:val="000F5279"/>
    <w:pPr>
      <w:keepNext w:val="0"/>
      <w:keepLines w:val="0"/>
      <w:spacing w:before="60" w:line="271" w:lineRule="auto"/>
      <w:ind w:left="851" w:hanging="851"/>
      <w:jc w:val="both"/>
      <w:outlineLvl w:val="9"/>
    </w:pPr>
    <w:rPr>
      <w:rFonts w:eastAsia="Calibri" w:cs="Times New Roman"/>
      <w:bCs/>
      <w:color w:val="auto"/>
      <w:sz w:val="16"/>
      <w:lang w:val="nl-BE"/>
    </w:rPr>
  </w:style>
  <w:style w:type="paragraph" w:styleId="TOC5">
    <w:name w:val="toc 5"/>
    <w:basedOn w:val="Normal"/>
    <w:next w:val="Normal"/>
    <w:autoRedefine/>
    <w:uiPriority w:val="39"/>
    <w:unhideWhenUsed/>
    <w:rsid w:val="000F5279"/>
    <w:pPr>
      <w:spacing w:before="0" w:after="100" w:line="259" w:lineRule="auto"/>
      <w:ind w:left="880"/>
    </w:pPr>
    <w:rPr>
      <w:rFonts w:ascii="Calibri" w:eastAsia="Times New Roman" w:hAnsi="Calibri" w:cs="Times New Roman"/>
      <w:sz w:val="22"/>
      <w:szCs w:val="22"/>
      <w:lang w:val="nl-BE" w:eastAsia="nl-BE"/>
    </w:rPr>
  </w:style>
  <w:style w:type="paragraph" w:styleId="TOC6">
    <w:name w:val="toc 6"/>
    <w:basedOn w:val="Normal"/>
    <w:next w:val="Normal"/>
    <w:autoRedefine/>
    <w:uiPriority w:val="39"/>
    <w:unhideWhenUsed/>
    <w:rsid w:val="000F5279"/>
    <w:pPr>
      <w:spacing w:before="0" w:after="100" w:line="259" w:lineRule="auto"/>
      <w:ind w:left="1100"/>
    </w:pPr>
    <w:rPr>
      <w:rFonts w:ascii="Calibri" w:eastAsia="Times New Roman" w:hAnsi="Calibri" w:cs="Times New Roman"/>
      <w:sz w:val="22"/>
      <w:szCs w:val="22"/>
      <w:lang w:val="nl-BE" w:eastAsia="nl-BE"/>
    </w:rPr>
  </w:style>
  <w:style w:type="paragraph" w:styleId="TOC7">
    <w:name w:val="toc 7"/>
    <w:basedOn w:val="Normal"/>
    <w:next w:val="Normal"/>
    <w:autoRedefine/>
    <w:uiPriority w:val="39"/>
    <w:unhideWhenUsed/>
    <w:rsid w:val="000F5279"/>
    <w:pPr>
      <w:spacing w:before="0" w:after="100" w:line="259" w:lineRule="auto"/>
      <w:ind w:left="1320"/>
    </w:pPr>
    <w:rPr>
      <w:rFonts w:ascii="Calibri" w:eastAsia="Times New Roman" w:hAnsi="Calibri" w:cs="Times New Roman"/>
      <w:sz w:val="22"/>
      <w:szCs w:val="22"/>
      <w:lang w:val="nl-BE" w:eastAsia="nl-BE"/>
    </w:rPr>
  </w:style>
  <w:style w:type="paragraph" w:styleId="TOC8">
    <w:name w:val="toc 8"/>
    <w:basedOn w:val="Normal"/>
    <w:next w:val="Normal"/>
    <w:autoRedefine/>
    <w:uiPriority w:val="39"/>
    <w:unhideWhenUsed/>
    <w:rsid w:val="000F5279"/>
    <w:pPr>
      <w:spacing w:before="0" w:after="100" w:line="259" w:lineRule="auto"/>
      <w:ind w:left="1540"/>
    </w:pPr>
    <w:rPr>
      <w:rFonts w:ascii="Calibri" w:eastAsia="Times New Roman" w:hAnsi="Calibri" w:cs="Times New Roman"/>
      <w:sz w:val="22"/>
      <w:szCs w:val="22"/>
      <w:lang w:val="nl-BE" w:eastAsia="nl-BE"/>
    </w:rPr>
  </w:style>
  <w:style w:type="paragraph" w:styleId="TOC9">
    <w:name w:val="toc 9"/>
    <w:basedOn w:val="Normal"/>
    <w:next w:val="Normal"/>
    <w:autoRedefine/>
    <w:uiPriority w:val="39"/>
    <w:unhideWhenUsed/>
    <w:rsid w:val="000F5279"/>
    <w:pPr>
      <w:spacing w:before="0" w:after="100" w:line="259" w:lineRule="auto"/>
      <w:ind w:left="1760"/>
    </w:pPr>
    <w:rPr>
      <w:rFonts w:ascii="Calibri" w:eastAsia="Times New Roman" w:hAnsi="Calibri" w:cs="Times New Roman"/>
      <w:sz w:val="22"/>
      <w:szCs w:val="22"/>
      <w:lang w:val="nl-BE" w:eastAsia="nl-BE"/>
    </w:rPr>
  </w:style>
  <w:style w:type="character" w:customStyle="1" w:styleId="BijlagetitelChar">
    <w:name w:val="Bijlage  titel Char"/>
    <w:link w:val="Bijlagetitel"/>
    <w:rsid w:val="006A257B"/>
    <w:rPr>
      <w:rFonts w:ascii="Aptos" w:eastAsia="Calibri" w:hAnsi="Aptos" w:cs="Times New Roman"/>
      <w:b/>
      <w:caps/>
      <w:sz w:val="20"/>
      <w:szCs w:val="20"/>
      <w:lang w:val="nl-BE" w:eastAsia="nl-NL"/>
    </w:rPr>
  </w:style>
  <w:style w:type="paragraph" w:customStyle="1" w:styleId="BijlageKop1">
    <w:name w:val="Bijlage Kop 1"/>
    <w:basedOn w:val="Heading1"/>
    <w:next w:val="Normal"/>
    <w:link w:val="BijlageKop1Char"/>
    <w:qFormat/>
    <w:rsid w:val="000F5279"/>
    <w:pPr>
      <w:numPr>
        <w:numId w:val="13"/>
      </w:numPr>
      <w:spacing w:before="120" w:after="0" w:line="276" w:lineRule="auto"/>
      <w:jc w:val="both"/>
      <w:outlineLvl w:val="9"/>
    </w:pPr>
    <w:rPr>
      <w:rFonts w:eastAsia="Calibri" w:cs="Times New Roman"/>
      <w:bCs w:val="0"/>
      <w:caps/>
      <w:color w:val="auto"/>
      <w:spacing w:val="5"/>
      <w:sz w:val="20"/>
      <w:szCs w:val="36"/>
      <w:lang w:val="en-GB"/>
    </w:rPr>
  </w:style>
  <w:style w:type="paragraph" w:customStyle="1" w:styleId="BijlageKop2">
    <w:name w:val="Bijlage Kop 2"/>
    <w:basedOn w:val="Heading2"/>
    <w:next w:val="Normal"/>
    <w:link w:val="BijlageKop2Char"/>
    <w:autoRedefine/>
    <w:qFormat/>
    <w:rsid w:val="000F5279"/>
    <w:pPr>
      <w:keepLines w:val="0"/>
      <w:numPr>
        <w:ilvl w:val="2"/>
        <w:numId w:val="7"/>
      </w:numPr>
      <w:spacing w:before="60" w:after="0" w:line="271" w:lineRule="auto"/>
      <w:jc w:val="both"/>
      <w:outlineLvl w:val="9"/>
    </w:pPr>
    <w:rPr>
      <w:rFonts w:eastAsia="Calibri" w:cs="Times New Roman"/>
      <w:b/>
      <w:bCs w:val="0"/>
      <w:color w:val="auto"/>
      <w:sz w:val="20"/>
      <w:szCs w:val="28"/>
      <w:lang w:val="nl-BE"/>
    </w:rPr>
  </w:style>
  <w:style w:type="character" w:customStyle="1" w:styleId="BijlageKop1Char">
    <w:name w:val="Bijlage Kop 1 Char"/>
    <w:link w:val="BijlageKop1"/>
    <w:rsid w:val="000F5279"/>
    <w:rPr>
      <w:rFonts w:ascii="Arial" w:eastAsia="Calibri" w:hAnsi="Arial" w:cs="Times New Roman"/>
      <w:b/>
      <w:caps/>
      <w:spacing w:val="5"/>
      <w:sz w:val="20"/>
      <w:szCs w:val="36"/>
    </w:rPr>
  </w:style>
  <w:style w:type="paragraph" w:customStyle="1" w:styleId="BijlageKop3">
    <w:name w:val="Bijlage Kop 3"/>
    <w:basedOn w:val="Heading3"/>
    <w:next w:val="Normal"/>
    <w:link w:val="BijlageKop3Char"/>
    <w:qFormat/>
    <w:rsid w:val="000F5279"/>
    <w:pPr>
      <w:keepLines w:val="0"/>
      <w:numPr>
        <w:ilvl w:val="3"/>
        <w:numId w:val="7"/>
      </w:numPr>
      <w:spacing w:before="120" w:after="0" w:line="271" w:lineRule="auto"/>
      <w:jc w:val="both"/>
      <w:outlineLvl w:val="9"/>
    </w:pPr>
    <w:rPr>
      <w:rFonts w:eastAsia="Calibri" w:cs="Times New Roman"/>
      <w:bCs w:val="0"/>
      <w:iCs/>
      <w:color w:val="auto"/>
      <w:szCs w:val="26"/>
      <w:lang w:val="nl-BE"/>
    </w:rPr>
  </w:style>
  <w:style w:type="character" w:customStyle="1" w:styleId="BijlageKop2Char">
    <w:name w:val="Bijlage Kop 2 Char"/>
    <w:link w:val="BijlageKop2"/>
    <w:rsid w:val="000F5279"/>
    <w:rPr>
      <w:rFonts w:ascii="Arial" w:eastAsia="Calibri" w:hAnsi="Arial" w:cs="Times New Roman"/>
      <w:b/>
      <w:sz w:val="20"/>
      <w:szCs w:val="28"/>
      <w:lang w:val="nl-BE"/>
    </w:rPr>
  </w:style>
  <w:style w:type="paragraph" w:customStyle="1" w:styleId="BijlageKop4">
    <w:name w:val="Bijlage Kop 4"/>
    <w:basedOn w:val="Heading4"/>
    <w:next w:val="Normal"/>
    <w:link w:val="BijlageKop4Char"/>
    <w:qFormat/>
    <w:rsid w:val="000F5279"/>
    <w:pPr>
      <w:keepLines w:val="0"/>
      <w:numPr>
        <w:ilvl w:val="4"/>
        <w:numId w:val="7"/>
      </w:numPr>
      <w:spacing w:before="60" w:line="271" w:lineRule="auto"/>
      <w:jc w:val="both"/>
      <w:outlineLvl w:val="9"/>
    </w:pPr>
    <w:rPr>
      <w:rFonts w:eastAsia="Calibri" w:cs="Times New Roman"/>
      <w:bCs/>
      <w:color w:val="auto"/>
      <w:spacing w:val="5"/>
      <w:sz w:val="16"/>
      <w:lang w:val="nl-BE"/>
    </w:rPr>
  </w:style>
  <w:style w:type="character" w:customStyle="1" w:styleId="BijlageKop3Char">
    <w:name w:val="Bijlage Kop 3 Char"/>
    <w:link w:val="BijlageKop3"/>
    <w:rsid w:val="000F5279"/>
    <w:rPr>
      <w:rFonts w:ascii="Arial" w:eastAsia="Calibri" w:hAnsi="Arial" w:cs="Times New Roman"/>
      <w:b/>
      <w:iCs/>
      <w:sz w:val="20"/>
      <w:szCs w:val="26"/>
      <w:lang w:val="nl-BE"/>
    </w:rPr>
  </w:style>
  <w:style w:type="paragraph" w:customStyle="1" w:styleId="BijlageLijstnummering2">
    <w:name w:val="Bijlage Lijstnummering 2"/>
    <w:basedOn w:val="BijlageKop2"/>
    <w:link w:val="BijlageLijstnummering2Char"/>
    <w:qFormat/>
    <w:rsid w:val="000F5279"/>
    <w:pPr>
      <w:keepNext w:val="0"/>
    </w:pPr>
    <w:rPr>
      <w:b w:val="0"/>
    </w:rPr>
  </w:style>
  <w:style w:type="character" w:customStyle="1" w:styleId="BijlageKop4Char">
    <w:name w:val="Bijlage Kop 4 Char"/>
    <w:link w:val="BijlageKop4"/>
    <w:rsid w:val="000F5279"/>
    <w:rPr>
      <w:rFonts w:ascii="Arial" w:eastAsia="Calibri" w:hAnsi="Arial" w:cs="Times New Roman"/>
      <w:bCs/>
      <w:spacing w:val="5"/>
      <w:sz w:val="16"/>
      <w:lang w:val="nl-BE"/>
    </w:rPr>
  </w:style>
  <w:style w:type="paragraph" w:customStyle="1" w:styleId="BijlageLijstnummering3">
    <w:name w:val="Bijlage Lijstnummering 3"/>
    <w:basedOn w:val="BijlageKop3"/>
    <w:link w:val="BijlageLijstnummering3Char"/>
    <w:qFormat/>
    <w:rsid w:val="000F5279"/>
    <w:pPr>
      <w:keepNext w:val="0"/>
      <w:spacing w:before="60"/>
    </w:pPr>
  </w:style>
  <w:style w:type="character" w:customStyle="1" w:styleId="ListNumber2Char">
    <w:name w:val="List Number 2 Char"/>
    <w:link w:val="ListNumber2"/>
    <w:uiPriority w:val="99"/>
    <w:rsid w:val="000F5279"/>
    <w:rPr>
      <w:rFonts w:ascii="Arial" w:eastAsia="Calibri" w:hAnsi="Arial" w:cs="Times New Roman"/>
      <w:sz w:val="20"/>
      <w:szCs w:val="28"/>
      <w:lang w:val="nl-BE"/>
    </w:rPr>
  </w:style>
  <w:style w:type="character" w:customStyle="1" w:styleId="BijlageLijstnummering2Char">
    <w:name w:val="Bijlage Lijstnummering 2 Char"/>
    <w:link w:val="BijlageLijstnummering2"/>
    <w:rsid w:val="000F5279"/>
    <w:rPr>
      <w:rFonts w:ascii="Arial" w:eastAsia="Calibri" w:hAnsi="Arial" w:cs="Times New Roman"/>
      <w:sz w:val="20"/>
      <w:szCs w:val="28"/>
      <w:lang w:val="nl-BE"/>
    </w:rPr>
  </w:style>
  <w:style w:type="paragraph" w:customStyle="1" w:styleId="BijlageLijstnummering4">
    <w:name w:val="Bijlage Lijstnummering 4"/>
    <w:basedOn w:val="BijlageKop4"/>
    <w:link w:val="BijlageLijstnummering4Char"/>
    <w:qFormat/>
    <w:rsid w:val="000F5279"/>
    <w:pPr>
      <w:keepNext w:val="0"/>
    </w:pPr>
  </w:style>
  <w:style w:type="character" w:customStyle="1" w:styleId="ListNumber3Char">
    <w:name w:val="List Number 3 Char"/>
    <w:link w:val="ListNumber3"/>
    <w:uiPriority w:val="99"/>
    <w:rsid w:val="000F5279"/>
    <w:rPr>
      <w:rFonts w:ascii="Arial" w:eastAsia="Calibri" w:hAnsi="Arial" w:cs="Times New Roman"/>
      <w:b/>
      <w:iCs/>
      <w:sz w:val="20"/>
      <w:szCs w:val="26"/>
      <w:lang w:val="nl-BE"/>
    </w:rPr>
  </w:style>
  <w:style w:type="character" w:customStyle="1" w:styleId="BijlageLijstnummering3Char">
    <w:name w:val="Bijlage Lijstnummering 3 Char"/>
    <w:link w:val="BijlageLijstnummering3"/>
    <w:rsid w:val="000F5279"/>
    <w:rPr>
      <w:rFonts w:ascii="Arial" w:eastAsia="Calibri" w:hAnsi="Arial" w:cs="Times New Roman"/>
      <w:b/>
      <w:iCs/>
      <w:sz w:val="20"/>
      <w:szCs w:val="26"/>
      <w:lang w:val="nl-BE"/>
    </w:rPr>
  </w:style>
  <w:style w:type="character" w:customStyle="1" w:styleId="VerwijzingAnnex">
    <w:name w:val="Verwijzing Annex"/>
    <w:uiPriority w:val="1"/>
    <w:qFormat/>
    <w:rsid w:val="000F5279"/>
    <w:rPr>
      <w:rFonts w:ascii="Arial" w:hAnsi="Arial"/>
      <w:b/>
      <w:i/>
      <w:caps w:val="0"/>
      <w:smallCaps/>
      <w:u w:val="single"/>
    </w:rPr>
  </w:style>
  <w:style w:type="character" w:customStyle="1" w:styleId="ListNumber4Char">
    <w:name w:val="List Number 4 Char"/>
    <w:link w:val="ListNumber4"/>
    <w:uiPriority w:val="99"/>
    <w:rsid w:val="000F5279"/>
    <w:rPr>
      <w:rFonts w:ascii="Arial" w:eastAsia="Calibri" w:hAnsi="Arial" w:cs="Times New Roman"/>
      <w:bCs/>
      <w:sz w:val="16"/>
      <w:lang w:val="nl-BE"/>
    </w:rPr>
  </w:style>
  <w:style w:type="character" w:customStyle="1" w:styleId="BijlageLijstnummering4Char">
    <w:name w:val="Bijlage Lijstnummering 4 Char"/>
    <w:link w:val="BijlageLijstnummering4"/>
    <w:rsid w:val="000F5279"/>
    <w:rPr>
      <w:rFonts w:ascii="Arial" w:eastAsia="Calibri" w:hAnsi="Arial" w:cs="Times New Roman"/>
      <w:bCs/>
      <w:spacing w:val="5"/>
      <w:sz w:val="16"/>
      <w:lang w:val="nl-BE"/>
    </w:rPr>
  </w:style>
  <w:style w:type="numbering" w:customStyle="1" w:styleId="SDWorxBijlagen">
    <w:name w:val="SDWorx Bijlagen"/>
    <w:uiPriority w:val="99"/>
    <w:rsid w:val="000F5279"/>
    <w:pPr>
      <w:numPr>
        <w:numId w:val="9"/>
      </w:numPr>
    </w:pPr>
  </w:style>
  <w:style w:type="character" w:customStyle="1" w:styleId="Nadrukvoorblad">
    <w:name w:val="Nadruk voorblad"/>
    <w:uiPriority w:val="1"/>
    <w:qFormat/>
    <w:rsid w:val="000F5279"/>
    <w:rPr>
      <w:rFonts w:ascii="Arial" w:hAnsi="Arial"/>
      <w:b/>
      <w:bCs/>
      <w:i w:val="0"/>
      <w:iCs/>
      <w:spacing w:val="0"/>
      <w:sz w:val="16"/>
    </w:rPr>
  </w:style>
  <w:style w:type="paragraph" w:customStyle="1" w:styleId="Standaardklein">
    <w:name w:val="Standaard klein"/>
    <w:basedOn w:val="Normal"/>
    <w:qFormat/>
    <w:rsid w:val="000F5279"/>
    <w:pPr>
      <w:spacing w:before="120" w:after="0" w:line="240" w:lineRule="auto"/>
    </w:pPr>
    <w:rPr>
      <w:rFonts w:eastAsia="Calibri" w:cs="Times New Roman"/>
      <w:sz w:val="16"/>
      <w:szCs w:val="18"/>
      <w:lang w:val="nl-BE"/>
    </w:rPr>
  </w:style>
  <w:style w:type="character" w:customStyle="1" w:styleId="Nadrukklein">
    <w:name w:val="Nadruk klein"/>
    <w:basedOn w:val="Emphasis"/>
    <w:uiPriority w:val="1"/>
    <w:qFormat/>
    <w:rsid w:val="000F5279"/>
    <w:rPr>
      <w:rFonts w:ascii="Arial" w:hAnsi="Arial"/>
      <w:b/>
      <w:bCs/>
      <w:i w:val="0"/>
      <w:iCs/>
      <w:spacing w:val="0"/>
      <w:sz w:val="16"/>
    </w:rPr>
  </w:style>
  <w:style w:type="paragraph" w:customStyle="1" w:styleId="Nummeringbullet">
    <w:name w:val="Nummering bullet"/>
    <w:basedOn w:val="ListParagraph"/>
    <w:qFormat/>
    <w:rsid w:val="000F5279"/>
    <w:pPr>
      <w:numPr>
        <w:numId w:val="10"/>
      </w:numPr>
      <w:spacing w:before="120" w:after="0" w:line="276" w:lineRule="auto"/>
      <w:jc w:val="both"/>
    </w:pPr>
    <w:rPr>
      <w:rFonts w:eastAsia="Calibri" w:cs="Times New Roman"/>
      <w:color w:val="auto"/>
      <w:spacing w:val="0"/>
      <w:sz w:val="16"/>
      <w:szCs w:val="22"/>
      <w:lang w:val="en-US"/>
    </w:rPr>
  </w:style>
  <w:style w:type="paragraph" w:customStyle="1" w:styleId="NummeringCheck">
    <w:name w:val="Nummering Check"/>
    <w:basedOn w:val="Standaardklein"/>
    <w:qFormat/>
    <w:rsid w:val="000F5279"/>
    <w:pPr>
      <w:numPr>
        <w:numId w:val="11"/>
      </w:numPr>
    </w:pPr>
    <w:rPr>
      <w:lang w:val="en-GB"/>
    </w:rPr>
  </w:style>
  <w:style w:type="paragraph" w:customStyle="1" w:styleId="Annexesappendices">
    <w:name w:val="Annexes/appendices"/>
    <w:basedOn w:val="Preambule"/>
    <w:qFormat/>
    <w:rsid w:val="000F5279"/>
    <w:rPr>
      <w:i w:val="0"/>
      <w:sz w:val="18"/>
    </w:rPr>
  </w:style>
  <w:style w:type="table" w:customStyle="1" w:styleId="Tabelraster1">
    <w:name w:val="Tabelraster1"/>
    <w:basedOn w:val="TableNormal"/>
    <w:next w:val="TableGrid"/>
    <w:uiPriority w:val="59"/>
    <w:rsid w:val="000F5279"/>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0F5279"/>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0F5279"/>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F5279"/>
    <w:pPr>
      <w:spacing w:before="120" w:line="276" w:lineRule="auto"/>
      <w:jc w:val="both"/>
    </w:pPr>
    <w:rPr>
      <w:rFonts w:eastAsia="Calibri" w:cs="Times New Roman"/>
      <w:sz w:val="16"/>
      <w:szCs w:val="22"/>
      <w:lang w:val="nl-BE"/>
    </w:rPr>
  </w:style>
  <w:style w:type="character" w:customStyle="1" w:styleId="BodyTextChar">
    <w:name w:val="Body Text Char"/>
    <w:basedOn w:val="DefaultParagraphFont"/>
    <w:link w:val="BodyText"/>
    <w:uiPriority w:val="99"/>
    <w:semiHidden/>
    <w:rsid w:val="000F5279"/>
    <w:rPr>
      <w:rFonts w:ascii="Arial" w:eastAsia="Calibri" w:hAnsi="Arial" w:cs="Times New Roman"/>
      <w:sz w:val="16"/>
      <w:szCs w:val="22"/>
      <w:lang w:val="nl-BE"/>
    </w:rPr>
  </w:style>
  <w:style w:type="paragraph" w:styleId="BodyText2">
    <w:name w:val="Body Text 2"/>
    <w:basedOn w:val="Normal"/>
    <w:link w:val="BodyText2Char"/>
    <w:uiPriority w:val="99"/>
    <w:semiHidden/>
    <w:unhideWhenUsed/>
    <w:rsid w:val="000F5279"/>
    <w:pPr>
      <w:spacing w:before="120" w:line="480" w:lineRule="auto"/>
      <w:jc w:val="both"/>
    </w:pPr>
    <w:rPr>
      <w:rFonts w:eastAsia="Calibri" w:cs="Times New Roman"/>
      <w:sz w:val="16"/>
      <w:szCs w:val="22"/>
      <w:lang w:val="nl-BE"/>
    </w:rPr>
  </w:style>
  <w:style w:type="character" w:customStyle="1" w:styleId="BodyText2Char">
    <w:name w:val="Body Text 2 Char"/>
    <w:basedOn w:val="DefaultParagraphFont"/>
    <w:link w:val="BodyText2"/>
    <w:uiPriority w:val="99"/>
    <w:semiHidden/>
    <w:rsid w:val="000F5279"/>
    <w:rPr>
      <w:rFonts w:ascii="Arial" w:eastAsia="Calibri" w:hAnsi="Arial" w:cs="Times New Roman"/>
      <w:sz w:val="16"/>
      <w:szCs w:val="22"/>
      <w:lang w:val="nl-BE"/>
    </w:rPr>
  </w:style>
  <w:style w:type="character" w:styleId="UnresolvedMention">
    <w:name w:val="Unresolved Mention"/>
    <w:basedOn w:val="DefaultParagraphFont"/>
    <w:uiPriority w:val="99"/>
    <w:semiHidden/>
    <w:unhideWhenUsed/>
    <w:rsid w:val="000F5279"/>
    <w:rPr>
      <w:color w:val="605E5C"/>
      <w:shd w:val="clear" w:color="auto" w:fill="E1DFDD"/>
    </w:rPr>
  </w:style>
  <w:style w:type="character" w:customStyle="1" w:styleId="ListParagraphChar">
    <w:name w:val="List Paragraph Char"/>
    <w:aliases w:val="sdworx list paragraph Char,MPG Title Char"/>
    <w:basedOn w:val="DefaultParagraphFont"/>
    <w:link w:val="ListParagraph"/>
    <w:uiPriority w:val="34"/>
    <w:rsid w:val="000F5279"/>
    <w:rPr>
      <w:rFonts w:ascii="Arial" w:hAnsi="Arial"/>
      <w:color w:val="75787B"/>
      <w:spacing w:val="-3"/>
      <w:sz w:val="20"/>
      <w:szCs w:val="18"/>
      <w:lang w:val="nl-NL"/>
    </w:rPr>
  </w:style>
  <w:style w:type="table" w:customStyle="1" w:styleId="Onopgemaaktetabel11">
    <w:name w:val="Onopgemaakte tabel 11"/>
    <w:basedOn w:val="TableNormal"/>
    <w:uiPriority w:val="41"/>
    <w:rsid w:val="000F5279"/>
    <w:pPr>
      <w:spacing w:before="80" w:after="80"/>
    </w:pPr>
    <w:rPr>
      <w:rFonts w:asciiTheme="minorHAnsi" w:hAnsiTheme="minorHAnsi"/>
      <w:color w:val="75787B"/>
      <w:sz w:val="20"/>
    </w:rPr>
    <w:tblPr>
      <w:tblStyleRowBandSize w:val="1"/>
      <w:tblStyleColBandSize w:val="1"/>
      <w:tblInd w:w="0" w:type="nil"/>
      <w:tblBorders>
        <w:insideH w:val="single" w:sz="4" w:space="0" w:color="7C2855" w:themeColor="text2"/>
        <w:insideV w:val="single" w:sz="4" w:space="0" w:color="7C2855" w:themeColor="text2"/>
      </w:tblBorders>
    </w:tblPr>
    <w:tcPr>
      <w:vAlign w:val="center"/>
    </w:tcPr>
    <w:tblStylePr w:type="firstRow">
      <w:rPr>
        <w:rFonts w:asciiTheme="minorHAnsi" w:hAnsiTheme="minorHAnsi" w:cs="Calibri" w:hint="default"/>
        <w:b/>
        <w:bCs/>
        <w:color w:val="BDBEBC"/>
        <w:sz w:val="22"/>
        <w:szCs w:val="22"/>
      </w:rPr>
      <w:tblPr/>
      <w:tcPr>
        <w:tcBorders>
          <w:top w:val="nil"/>
          <w:left w:val="nil"/>
          <w:bottom w:val="nil"/>
          <w:right w:val="nil"/>
          <w:insideH w:val="nil"/>
          <w:insideV w:val="nil"/>
          <w:tl2br w:val="nil"/>
          <w:tr2bl w:val="nil"/>
        </w:tcBorders>
        <w:shd w:val="clear" w:color="auto" w:fill="7C2855" w:themeFill="text2"/>
      </w:tcPr>
    </w:tblStylePr>
    <w:tblStylePr w:type="lastRow">
      <w:rPr>
        <w:rFonts w:asciiTheme="minorHAnsi" w:hAnsiTheme="minorHAnsi" w:cs="Calibri" w:hint="default"/>
        <w:b/>
        <w:bCs/>
        <w:color w:val="BDBEBC"/>
        <w:sz w:val="22"/>
        <w:szCs w:val="22"/>
      </w:rPr>
      <w:tblPr/>
      <w:tcPr>
        <w:shd w:val="clear" w:color="auto" w:fill="DC4405" w:themeFill="accent2"/>
      </w:tcPr>
    </w:tblStylePr>
    <w:tblStylePr w:type="firstCol">
      <w:rPr>
        <w:b/>
        <w:bCs/>
      </w:rPr>
    </w:tblStylePr>
    <w:tblStylePr w:type="lastCol">
      <w:rPr>
        <w:b/>
        <w:bCs/>
      </w:rPr>
    </w:tblStylePr>
    <w:tblStylePr w:type="band2Horz">
      <w:tblPr/>
      <w:tcPr>
        <w:shd w:val="clear" w:color="auto" w:fill="BDBEBC"/>
      </w:tcPr>
    </w:tblStylePr>
  </w:style>
  <w:style w:type="paragraph" w:customStyle="1" w:styleId="pf0">
    <w:name w:val="pf0"/>
    <w:basedOn w:val="Normal"/>
    <w:rsid w:val="000F5279"/>
    <w:pPr>
      <w:spacing w:before="100" w:beforeAutospacing="1" w:after="100" w:afterAutospacing="1" w:line="240" w:lineRule="auto"/>
    </w:pPr>
    <w:rPr>
      <w:rFonts w:ascii="Times New Roman" w:eastAsia="Times New Roman" w:hAnsi="Times New Roman" w:cs="Times New Roman"/>
      <w:sz w:val="24"/>
      <w:lang w:val="nl-BE" w:eastAsia="nl-BE"/>
    </w:rPr>
  </w:style>
  <w:style w:type="paragraph" w:customStyle="1" w:styleId="pf1">
    <w:name w:val="pf1"/>
    <w:basedOn w:val="Normal"/>
    <w:rsid w:val="000F5279"/>
    <w:pPr>
      <w:spacing w:before="100" w:beforeAutospacing="1" w:after="100" w:afterAutospacing="1" w:line="240" w:lineRule="auto"/>
    </w:pPr>
    <w:rPr>
      <w:rFonts w:ascii="Times New Roman" w:eastAsia="Times New Roman" w:hAnsi="Times New Roman" w:cs="Times New Roman"/>
      <w:sz w:val="24"/>
      <w:lang w:val="nl-BE" w:eastAsia="nl-BE"/>
    </w:rPr>
  </w:style>
  <w:style w:type="paragraph" w:customStyle="1" w:styleId="pf3">
    <w:name w:val="pf3"/>
    <w:basedOn w:val="Normal"/>
    <w:rsid w:val="000F5279"/>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cf01">
    <w:name w:val="cf01"/>
    <w:basedOn w:val="DefaultParagraphFont"/>
    <w:rsid w:val="000F5279"/>
    <w:rPr>
      <w:rFonts w:ascii="Segoe UI" w:hAnsi="Segoe UI" w:cs="Segoe UI" w:hint="default"/>
      <w:i/>
      <w:iCs/>
      <w:sz w:val="18"/>
      <w:szCs w:val="18"/>
    </w:rPr>
  </w:style>
  <w:style w:type="character" w:customStyle="1" w:styleId="cf11">
    <w:name w:val="cf11"/>
    <w:basedOn w:val="DefaultParagraphFont"/>
    <w:rsid w:val="000F5279"/>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4270">
      <w:bodyDiv w:val="1"/>
      <w:marLeft w:val="0"/>
      <w:marRight w:val="0"/>
      <w:marTop w:val="0"/>
      <w:marBottom w:val="0"/>
      <w:divBdr>
        <w:top w:val="none" w:sz="0" w:space="0" w:color="auto"/>
        <w:left w:val="none" w:sz="0" w:space="0" w:color="auto"/>
        <w:bottom w:val="none" w:sz="0" w:space="0" w:color="auto"/>
        <w:right w:val="none" w:sz="0" w:space="0" w:color="auto"/>
      </w:divBdr>
    </w:div>
    <w:div w:id="249973182">
      <w:bodyDiv w:val="1"/>
      <w:marLeft w:val="0"/>
      <w:marRight w:val="0"/>
      <w:marTop w:val="0"/>
      <w:marBottom w:val="0"/>
      <w:divBdr>
        <w:top w:val="none" w:sz="0" w:space="0" w:color="auto"/>
        <w:left w:val="none" w:sz="0" w:space="0" w:color="auto"/>
        <w:bottom w:val="none" w:sz="0" w:space="0" w:color="auto"/>
        <w:right w:val="none" w:sz="0" w:space="0" w:color="auto"/>
      </w:divBdr>
    </w:div>
    <w:div w:id="591470646">
      <w:bodyDiv w:val="1"/>
      <w:marLeft w:val="0"/>
      <w:marRight w:val="0"/>
      <w:marTop w:val="0"/>
      <w:marBottom w:val="0"/>
      <w:divBdr>
        <w:top w:val="none" w:sz="0" w:space="0" w:color="auto"/>
        <w:left w:val="none" w:sz="0" w:space="0" w:color="auto"/>
        <w:bottom w:val="none" w:sz="0" w:space="0" w:color="auto"/>
        <w:right w:val="none" w:sz="0" w:space="0" w:color="auto"/>
      </w:divBdr>
    </w:div>
    <w:div w:id="643697829">
      <w:bodyDiv w:val="1"/>
      <w:marLeft w:val="0"/>
      <w:marRight w:val="0"/>
      <w:marTop w:val="0"/>
      <w:marBottom w:val="0"/>
      <w:divBdr>
        <w:top w:val="none" w:sz="0" w:space="0" w:color="auto"/>
        <w:left w:val="none" w:sz="0" w:space="0" w:color="auto"/>
        <w:bottom w:val="none" w:sz="0" w:space="0" w:color="auto"/>
        <w:right w:val="none" w:sz="0" w:space="0" w:color="auto"/>
      </w:divBdr>
    </w:div>
    <w:div w:id="651327089">
      <w:bodyDiv w:val="1"/>
      <w:marLeft w:val="0"/>
      <w:marRight w:val="0"/>
      <w:marTop w:val="0"/>
      <w:marBottom w:val="0"/>
      <w:divBdr>
        <w:top w:val="none" w:sz="0" w:space="0" w:color="auto"/>
        <w:left w:val="none" w:sz="0" w:space="0" w:color="auto"/>
        <w:bottom w:val="none" w:sz="0" w:space="0" w:color="auto"/>
        <w:right w:val="none" w:sz="0" w:space="0" w:color="auto"/>
      </w:divBdr>
    </w:div>
    <w:div w:id="755322919">
      <w:bodyDiv w:val="1"/>
      <w:marLeft w:val="0"/>
      <w:marRight w:val="0"/>
      <w:marTop w:val="0"/>
      <w:marBottom w:val="0"/>
      <w:divBdr>
        <w:top w:val="none" w:sz="0" w:space="0" w:color="auto"/>
        <w:left w:val="none" w:sz="0" w:space="0" w:color="auto"/>
        <w:bottom w:val="none" w:sz="0" w:space="0" w:color="auto"/>
        <w:right w:val="none" w:sz="0" w:space="0" w:color="auto"/>
      </w:divBdr>
    </w:div>
    <w:div w:id="825126442">
      <w:bodyDiv w:val="1"/>
      <w:marLeft w:val="0"/>
      <w:marRight w:val="0"/>
      <w:marTop w:val="0"/>
      <w:marBottom w:val="0"/>
      <w:divBdr>
        <w:top w:val="none" w:sz="0" w:space="0" w:color="auto"/>
        <w:left w:val="none" w:sz="0" w:space="0" w:color="auto"/>
        <w:bottom w:val="none" w:sz="0" w:space="0" w:color="auto"/>
        <w:right w:val="none" w:sz="0" w:space="0" w:color="auto"/>
      </w:divBdr>
    </w:div>
    <w:div w:id="876551124">
      <w:bodyDiv w:val="1"/>
      <w:marLeft w:val="0"/>
      <w:marRight w:val="0"/>
      <w:marTop w:val="0"/>
      <w:marBottom w:val="0"/>
      <w:divBdr>
        <w:top w:val="none" w:sz="0" w:space="0" w:color="auto"/>
        <w:left w:val="none" w:sz="0" w:space="0" w:color="auto"/>
        <w:bottom w:val="none" w:sz="0" w:space="0" w:color="auto"/>
        <w:right w:val="none" w:sz="0" w:space="0" w:color="auto"/>
      </w:divBdr>
    </w:div>
    <w:div w:id="879632166">
      <w:bodyDiv w:val="1"/>
      <w:marLeft w:val="0"/>
      <w:marRight w:val="0"/>
      <w:marTop w:val="0"/>
      <w:marBottom w:val="0"/>
      <w:divBdr>
        <w:top w:val="none" w:sz="0" w:space="0" w:color="auto"/>
        <w:left w:val="none" w:sz="0" w:space="0" w:color="auto"/>
        <w:bottom w:val="none" w:sz="0" w:space="0" w:color="auto"/>
        <w:right w:val="none" w:sz="0" w:space="0" w:color="auto"/>
      </w:divBdr>
    </w:div>
    <w:div w:id="983316857">
      <w:bodyDiv w:val="1"/>
      <w:marLeft w:val="0"/>
      <w:marRight w:val="0"/>
      <w:marTop w:val="0"/>
      <w:marBottom w:val="0"/>
      <w:divBdr>
        <w:top w:val="none" w:sz="0" w:space="0" w:color="auto"/>
        <w:left w:val="none" w:sz="0" w:space="0" w:color="auto"/>
        <w:bottom w:val="none" w:sz="0" w:space="0" w:color="auto"/>
        <w:right w:val="none" w:sz="0" w:space="0" w:color="auto"/>
      </w:divBdr>
    </w:div>
    <w:div w:id="1184708935">
      <w:bodyDiv w:val="1"/>
      <w:marLeft w:val="0"/>
      <w:marRight w:val="0"/>
      <w:marTop w:val="0"/>
      <w:marBottom w:val="0"/>
      <w:divBdr>
        <w:top w:val="none" w:sz="0" w:space="0" w:color="auto"/>
        <w:left w:val="none" w:sz="0" w:space="0" w:color="auto"/>
        <w:bottom w:val="none" w:sz="0" w:space="0" w:color="auto"/>
        <w:right w:val="none" w:sz="0" w:space="0" w:color="auto"/>
      </w:divBdr>
    </w:div>
    <w:div w:id="1204560269">
      <w:bodyDiv w:val="1"/>
      <w:marLeft w:val="0"/>
      <w:marRight w:val="0"/>
      <w:marTop w:val="0"/>
      <w:marBottom w:val="0"/>
      <w:divBdr>
        <w:top w:val="none" w:sz="0" w:space="0" w:color="auto"/>
        <w:left w:val="none" w:sz="0" w:space="0" w:color="auto"/>
        <w:bottom w:val="none" w:sz="0" w:space="0" w:color="auto"/>
        <w:right w:val="none" w:sz="0" w:space="0" w:color="auto"/>
      </w:divBdr>
    </w:div>
    <w:div w:id="1214466906">
      <w:bodyDiv w:val="1"/>
      <w:marLeft w:val="0"/>
      <w:marRight w:val="0"/>
      <w:marTop w:val="0"/>
      <w:marBottom w:val="0"/>
      <w:divBdr>
        <w:top w:val="none" w:sz="0" w:space="0" w:color="auto"/>
        <w:left w:val="none" w:sz="0" w:space="0" w:color="auto"/>
        <w:bottom w:val="none" w:sz="0" w:space="0" w:color="auto"/>
        <w:right w:val="none" w:sz="0" w:space="0" w:color="auto"/>
      </w:divBdr>
    </w:div>
    <w:div w:id="1443302135">
      <w:bodyDiv w:val="1"/>
      <w:marLeft w:val="0"/>
      <w:marRight w:val="0"/>
      <w:marTop w:val="0"/>
      <w:marBottom w:val="0"/>
      <w:divBdr>
        <w:top w:val="none" w:sz="0" w:space="0" w:color="auto"/>
        <w:left w:val="none" w:sz="0" w:space="0" w:color="auto"/>
        <w:bottom w:val="none" w:sz="0" w:space="0" w:color="auto"/>
        <w:right w:val="none" w:sz="0" w:space="0" w:color="auto"/>
      </w:divBdr>
    </w:div>
    <w:div w:id="1456826175">
      <w:bodyDiv w:val="1"/>
      <w:marLeft w:val="0"/>
      <w:marRight w:val="0"/>
      <w:marTop w:val="0"/>
      <w:marBottom w:val="0"/>
      <w:divBdr>
        <w:top w:val="none" w:sz="0" w:space="0" w:color="auto"/>
        <w:left w:val="none" w:sz="0" w:space="0" w:color="auto"/>
        <w:bottom w:val="none" w:sz="0" w:space="0" w:color="auto"/>
        <w:right w:val="none" w:sz="0" w:space="0" w:color="auto"/>
      </w:divBdr>
      <w:divsChild>
        <w:div w:id="1410927906">
          <w:marLeft w:val="0"/>
          <w:marRight w:val="0"/>
          <w:marTop w:val="0"/>
          <w:marBottom w:val="0"/>
          <w:divBdr>
            <w:top w:val="none" w:sz="0" w:space="0" w:color="auto"/>
            <w:left w:val="none" w:sz="0" w:space="0" w:color="auto"/>
            <w:bottom w:val="none" w:sz="0" w:space="0" w:color="auto"/>
            <w:right w:val="none" w:sz="0" w:space="0" w:color="auto"/>
          </w:divBdr>
          <w:divsChild>
            <w:div w:id="1490706077">
              <w:marLeft w:val="0"/>
              <w:marRight w:val="0"/>
              <w:marTop w:val="0"/>
              <w:marBottom w:val="0"/>
              <w:divBdr>
                <w:top w:val="none" w:sz="0" w:space="0" w:color="auto"/>
                <w:left w:val="none" w:sz="0" w:space="0" w:color="auto"/>
                <w:bottom w:val="none" w:sz="0" w:space="0" w:color="auto"/>
                <w:right w:val="none" w:sz="0" w:space="0" w:color="auto"/>
              </w:divBdr>
              <w:divsChild>
                <w:div w:id="1748114136">
                  <w:marLeft w:val="0"/>
                  <w:marRight w:val="0"/>
                  <w:marTop w:val="0"/>
                  <w:marBottom w:val="0"/>
                  <w:divBdr>
                    <w:top w:val="none" w:sz="0" w:space="0" w:color="auto"/>
                    <w:left w:val="none" w:sz="0" w:space="0" w:color="auto"/>
                    <w:bottom w:val="none" w:sz="0" w:space="0" w:color="auto"/>
                    <w:right w:val="none" w:sz="0" w:space="0" w:color="auto"/>
                  </w:divBdr>
                  <w:divsChild>
                    <w:div w:id="1642731284">
                      <w:marLeft w:val="0"/>
                      <w:marRight w:val="0"/>
                      <w:marTop w:val="0"/>
                      <w:marBottom w:val="0"/>
                      <w:divBdr>
                        <w:top w:val="none" w:sz="0" w:space="0" w:color="auto"/>
                        <w:left w:val="none" w:sz="0" w:space="0" w:color="auto"/>
                        <w:bottom w:val="none" w:sz="0" w:space="0" w:color="auto"/>
                        <w:right w:val="none" w:sz="0" w:space="0" w:color="auto"/>
                      </w:divBdr>
                      <w:divsChild>
                        <w:div w:id="1798794841">
                          <w:marLeft w:val="0"/>
                          <w:marRight w:val="0"/>
                          <w:marTop w:val="0"/>
                          <w:marBottom w:val="0"/>
                          <w:divBdr>
                            <w:top w:val="none" w:sz="0" w:space="0" w:color="auto"/>
                            <w:left w:val="none" w:sz="0" w:space="0" w:color="auto"/>
                            <w:bottom w:val="none" w:sz="0" w:space="0" w:color="auto"/>
                            <w:right w:val="none" w:sz="0" w:space="0" w:color="auto"/>
                          </w:divBdr>
                          <w:divsChild>
                            <w:div w:id="1706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658535101">
      <w:bodyDiv w:val="1"/>
      <w:marLeft w:val="0"/>
      <w:marRight w:val="0"/>
      <w:marTop w:val="0"/>
      <w:marBottom w:val="0"/>
      <w:divBdr>
        <w:top w:val="none" w:sz="0" w:space="0" w:color="auto"/>
        <w:left w:val="none" w:sz="0" w:space="0" w:color="auto"/>
        <w:bottom w:val="none" w:sz="0" w:space="0" w:color="auto"/>
        <w:right w:val="none" w:sz="0" w:space="0" w:color="auto"/>
      </w:divBdr>
    </w:div>
    <w:div w:id="1699895227">
      <w:bodyDiv w:val="1"/>
      <w:marLeft w:val="0"/>
      <w:marRight w:val="0"/>
      <w:marTop w:val="0"/>
      <w:marBottom w:val="0"/>
      <w:divBdr>
        <w:top w:val="none" w:sz="0" w:space="0" w:color="auto"/>
        <w:left w:val="none" w:sz="0" w:space="0" w:color="auto"/>
        <w:bottom w:val="none" w:sz="0" w:space="0" w:color="auto"/>
        <w:right w:val="none" w:sz="0" w:space="0" w:color="auto"/>
      </w:divBdr>
    </w:div>
    <w:div w:id="1707097416">
      <w:bodyDiv w:val="1"/>
      <w:marLeft w:val="0"/>
      <w:marRight w:val="0"/>
      <w:marTop w:val="0"/>
      <w:marBottom w:val="0"/>
      <w:divBdr>
        <w:top w:val="none" w:sz="0" w:space="0" w:color="auto"/>
        <w:left w:val="none" w:sz="0" w:space="0" w:color="auto"/>
        <w:bottom w:val="none" w:sz="0" w:space="0" w:color="auto"/>
        <w:right w:val="none" w:sz="0" w:space="0" w:color="auto"/>
      </w:divBdr>
    </w:div>
    <w:div w:id="1764564807">
      <w:bodyDiv w:val="1"/>
      <w:marLeft w:val="0"/>
      <w:marRight w:val="0"/>
      <w:marTop w:val="0"/>
      <w:marBottom w:val="0"/>
      <w:divBdr>
        <w:top w:val="none" w:sz="0" w:space="0" w:color="auto"/>
        <w:left w:val="none" w:sz="0" w:space="0" w:color="auto"/>
        <w:bottom w:val="none" w:sz="0" w:space="0" w:color="auto"/>
        <w:right w:val="none" w:sz="0" w:space="0" w:color="auto"/>
      </w:divBdr>
    </w:div>
    <w:div w:id="1833525802">
      <w:bodyDiv w:val="1"/>
      <w:marLeft w:val="0"/>
      <w:marRight w:val="0"/>
      <w:marTop w:val="0"/>
      <w:marBottom w:val="0"/>
      <w:divBdr>
        <w:top w:val="none" w:sz="0" w:space="0" w:color="auto"/>
        <w:left w:val="none" w:sz="0" w:space="0" w:color="auto"/>
        <w:bottom w:val="none" w:sz="0" w:space="0" w:color="auto"/>
        <w:right w:val="none" w:sz="0" w:space="0" w:color="auto"/>
      </w:divBdr>
    </w:div>
    <w:div w:id="2011447797">
      <w:bodyDiv w:val="1"/>
      <w:marLeft w:val="0"/>
      <w:marRight w:val="0"/>
      <w:marTop w:val="0"/>
      <w:marBottom w:val="0"/>
      <w:divBdr>
        <w:top w:val="none" w:sz="0" w:space="0" w:color="auto"/>
        <w:left w:val="none" w:sz="0" w:space="0" w:color="auto"/>
        <w:bottom w:val="none" w:sz="0" w:space="0" w:color="auto"/>
        <w:right w:val="none" w:sz="0" w:space="0" w:color="auto"/>
      </w:divBdr>
    </w:div>
    <w:div w:id="2046558640">
      <w:bodyDiv w:val="1"/>
      <w:marLeft w:val="0"/>
      <w:marRight w:val="0"/>
      <w:marTop w:val="0"/>
      <w:marBottom w:val="0"/>
      <w:divBdr>
        <w:top w:val="none" w:sz="0" w:space="0" w:color="auto"/>
        <w:left w:val="none" w:sz="0" w:space="0" w:color="auto"/>
        <w:bottom w:val="none" w:sz="0" w:space="0" w:color="auto"/>
        <w:right w:val="none" w:sz="0" w:space="0" w:color="auto"/>
      </w:divBdr>
    </w:div>
    <w:div w:id="2083138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dworx 2016">
  <a:themeElements>
    <a:clrScheme name="SDWorx">
      <a:dk1>
        <a:srgbClr val="75787B"/>
      </a:dk1>
      <a:lt1>
        <a:srgbClr val="C8C9C7"/>
      </a:lt1>
      <a:dk2>
        <a:srgbClr val="7C2855"/>
      </a:dk2>
      <a:lt2>
        <a:srgbClr val="F6AA00"/>
      </a:lt2>
      <a:accent1>
        <a:srgbClr val="7C2855"/>
      </a:accent1>
      <a:accent2>
        <a:srgbClr val="DC4405"/>
      </a:accent2>
      <a:accent3>
        <a:srgbClr val="E60036"/>
      </a:accent3>
      <a:accent4>
        <a:srgbClr val="F6AA00"/>
      </a:accent4>
      <a:accent5>
        <a:srgbClr val="75787B"/>
      </a:accent5>
      <a:accent6>
        <a:srgbClr val="C8C9C7"/>
      </a:accent6>
      <a:hlink>
        <a:srgbClr val="7C2855"/>
      </a:hlink>
      <a:folHlink>
        <a:srgbClr val="7C28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dworx_ppt_TMP" id="{C0B00F67-8A01-764C-A2EF-F8A5B59F19AE}" vid="{0E319203-55C6-B742-9DB0-44786E23B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F01E475BF294C93693FC3EE5991C6" ma:contentTypeVersion="14" ma:contentTypeDescription="Create a new document." ma:contentTypeScope="" ma:versionID="32ff907f9b89a51594d82bcb532a5536">
  <xsd:schema xmlns:xsd="http://www.w3.org/2001/XMLSchema" xmlns:xs="http://www.w3.org/2001/XMLSchema" xmlns:p="http://schemas.microsoft.com/office/2006/metadata/properties" xmlns:ns2="3df8bd29-77e5-490b-a339-77cddafb513b" xmlns:ns3="f006716a-9619-4722-ad98-16782f49d4c0" targetNamespace="http://schemas.microsoft.com/office/2006/metadata/properties" ma:root="true" ma:fieldsID="17e217a7acbdf6f3eb4472256cde2357" ns2:_="" ns3:_="">
    <xsd:import namespace="3df8bd29-77e5-490b-a339-77cddafb513b"/>
    <xsd:import namespace="f006716a-9619-4722-ad98-16782f49d4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8bd29-77e5-490b-a339-77cddafb5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28c487-51ca-44ed-a732-997012891b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6716a-9619-4722-ad98-16782f49d4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267992-8d9a-4eb1-82c4-ed01321e002b}" ma:internalName="TaxCatchAll" ma:showField="CatchAllData" ma:web="f006716a-9619-4722-ad98-16782f49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f8bd29-77e5-490b-a339-77cddafb513b">
      <Terms xmlns="http://schemas.microsoft.com/office/infopath/2007/PartnerControls"/>
    </lcf76f155ced4ddcb4097134ff3c332f>
    <TaxCatchAll xmlns="f006716a-9619-4722-ad98-16782f49d4c0" xsi:nil="true"/>
    <SharedWithUsers xmlns="f006716a-9619-4722-ad98-16782f49d4c0">
      <UserInfo>
        <DisplayName/>
        <AccountId xsi:nil="true"/>
        <AccountType/>
      </UserInfo>
    </SharedWithUsers>
  </documentManagement>
</p:properties>
</file>

<file path=customXml/itemProps1.xml><?xml version="1.0" encoding="utf-8"?>
<ds:datastoreItem xmlns:ds="http://schemas.openxmlformats.org/officeDocument/2006/customXml" ds:itemID="{9BE140FF-C4CF-4810-8B3A-D37FC56B0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8bd29-77e5-490b-a339-77cddafb513b"/>
    <ds:schemaRef ds:uri="f006716a-9619-4722-ad98-16782f49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FA396-0028-488B-B98E-8AC7F2A914F2}">
  <ds:schemaRefs>
    <ds:schemaRef ds:uri="http://schemas.microsoft.com/sharepoint/v3/contenttype/forms"/>
  </ds:schemaRefs>
</ds:datastoreItem>
</file>

<file path=customXml/itemProps3.xml><?xml version="1.0" encoding="utf-8"?>
<ds:datastoreItem xmlns:ds="http://schemas.openxmlformats.org/officeDocument/2006/customXml" ds:itemID="{2BD4E751-7861-46C4-B1D0-FDA78C37BF87}">
  <ds:schemaRefs>
    <ds:schemaRef ds:uri="http://schemas.openxmlformats.org/officeDocument/2006/bibliography"/>
  </ds:schemaRefs>
</ds:datastoreItem>
</file>

<file path=customXml/itemProps4.xml><?xml version="1.0" encoding="utf-8"?>
<ds:datastoreItem xmlns:ds="http://schemas.openxmlformats.org/officeDocument/2006/customXml" ds:itemID="{CC6EB842-6F7C-4414-ADB1-F191DE3FA78F}">
  <ds:schemaRefs>
    <ds:schemaRef ds:uri="http://schemas.microsoft.com/office/2006/metadata/properties"/>
    <ds:schemaRef ds:uri="http://purl.org/dc/terms/"/>
    <ds:schemaRef ds:uri="http://schemas.microsoft.com/office/2006/documentManagement/types"/>
    <ds:schemaRef ds:uri="http://purl.org/dc/dcmitype/"/>
    <ds:schemaRef ds:uri="f006716a-9619-4722-ad98-16782f49d4c0"/>
    <ds:schemaRef ds:uri="http://www.w3.org/XML/1998/namespace"/>
    <ds:schemaRef ds:uri="http://purl.org/dc/elements/1.1/"/>
    <ds:schemaRef ds:uri="http://schemas.microsoft.com/office/infopath/2007/PartnerControls"/>
    <ds:schemaRef ds:uri="http://schemas.openxmlformats.org/package/2006/metadata/core-properties"/>
    <ds:schemaRef ds:uri="3df8bd29-77e5-490b-a339-77cddafb513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4233</Words>
  <Characters>24133</Characters>
  <Application>Microsoft Office Word</Application>
  <DocSecurity>0</DocSecurity>
  <Lines>201</Lines>
  <Paragraphs>56</Paragraphs>
  <ScaleCrop>false</ScaleCrop>
  <Manager/>
  <Company>Branding Today</Company>
  <LinksUpToDate>false</LinksUpToDate>
  <CharactersWithSpaces>28310</CharactersWithSpaces>
  <SharedDoc>false</SharedDoc>
  <HyperlinkBase/>
  <HLinks>
    <vt:vector size="24" baseType="variant">
      <vt:variant>
        <vt:i4>3407983</vt:i4>
      </vt:variant>
      <vt:variant>
        <vt:i4>0</vt:i4>
      </vt:variant>
      <vt:variant>
        <vt:i4>0</vt:i4>
      </vt:variant>
      <vt:variant>
        <vt:i4>5</vt:i4>
      </vt:variant>
      <vt:variant>
        <vt:lpwstr>https://kbopub.economie.fgov.be/kbopub/zoeknummerform.html</vt:lpwstr>
      </vt:variant>
      <vt:variant>
        <vt:lpwstr/>
      </vt:variant>
      <vt:variant>
        <vt:i4>5898297</vt:i4>
      </vt:variant>
      <vt:variant>
        <vt:i4>6</vt:i4>
      </vt:variant>
      <vt:variant>
        <vt:i4>0</vt:i4>
      </vt:variant>
      <vt:variant>
        <vt:i4>5</vt:i4>
      </vt:variant>
      <vt:variant>
        <vt:lpwstr>mailto:Ine.Peeters@sdworx.com</vt:lpwstr>
      </vt:variant>
      <vt:variant>
        <vt:lpwstr/>
      </vt:variant>
      <vt:variant>
        <vt:i4>5898297</vt:i4>
      </vt:variant>
      <vt:variant>
        <vt:i4>3</vt:i4>
      </vt:variant>
      <vt:variant>
        <vt:i4>0</vt:i4>
      </vt:variant>
      <vt:variant>
        <vt:i4>5</vt:i4>
      </vt:variant>
      <vt:variant>
        <vt:lpwstr>mailto:Ine.Peeters@sdworx.com</vt:lpwstr>
      </vt:variant>
      <vt:variant>
        <vt:lpwstr/>
      </vt:variant>
      <vt:variant>
        <vt:i4>5898297</vt:i4>
      </vt:variant>
      <vt:variant>
        <vt:i4>0</vt:i4>
      </vt:variant>
      <vt:variant>
        <vt:i4>0</vt:i4>
      </vt:variant>
      <vt:variant>
        <vt:i4>5</vt:i4>
      </vt:variant>
      <vt:variant>
        <vt:lpwstr>mailto:Ine.Peeters@sdworx.com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Deswelgh Tania</dc:creator>
  <cp:keywords/>
  <dc:description/>
  <cp:lastModifiedBy>Kim Cornelis</cp:lastModifiedBy>
  <cp:revision>3</cp:revision>
  <cp:lastPrinted>2023-02-07T19:41:00Z</cp:lastPrinted>
  <dcterms:created xsi:type="dcterms:W3CDTF">2025-04-24T12:35:00Z</dcterms:created>
  <dcterms:modified xsi:type="dcterms:W3CDTF">2025-04-24T12:38:00Z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beta</vt:lpwstr>
  </property>
  <property fmtid="{D5CDD505-2E9C-101B-9397-08002B2CF9AE}" pid="3" name="MediaServiceImageTags">
    <vt:lpwstr/>
  </property>
  <property fmtid="{D5CDD505-2E9C-101B-9397-08002B2CF9AE}" pid="4" name="ContentTypeId">
    <vt:lpwstr>0x0101009BAF01E475BF294C93693FC3EE5991C6</vt:lpwstr>
  </property>
  <property fmtid="{D5CDD505-2E9C-101B-9397-08002B2CF9AE}" pid="5" name="Order">
    <vt:r8>18900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