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AC488" w14:textId="77777777" w:rsidR="00DA5E4B" w:rsidRPr="00225727" w:rsidRDefault="00DA5E4B" w:rsidP="00225727">
      <w:pPr>
        <w:pStyle w:val="Bijlagetitel"/>
        <w:spacing w:after="0"/>
        <w:rPr>
          <w:sz w:val="18"/>
          <w:szCs w:val="18"/>
          <w:lang w:val="fr-FR"/>
        </w:rPr>
      </w:pPr>
      <w:r w:rsidRPr="00225727">
        <w:rPr>
          <w:bCs/>
          <w:sz w:val="18"/>
          <w:szCs w:val="18"/>
          <w:lang w:val="fr-BE"/>
        </w:rPr>
        <w:t>ANNEXE 1</w:t>
      </w:r>
      <w:r w:rsidRPr="00225727">
        <w:rPr>
          <w:b w:val="0"/>
          <w:sz w:val="18"/>
          <w:szCs w:val="18"/>
          <w:lang w:val="fr-BE"/>
        </w:rPr>
        <w:t> </w:t>
      </w:r>
      <w:r w:rsidRPr="00225727">
        <w:rPr>
          <w:bCs/>
          <w:sz w:val="18"/>
          <w:szCs w:val="18"/>
          <w:lang w:val="fr-BE"/>
        </w:rPr>
        <w:t>: Conditions générales de SD</w:t>
      </w:r>
      <w:r w:rsidRPr="00225727">
        <w:rPr>
          <w:b w:val="0"/>
          <w:sz w:val="18"/>
          <w:szCs w:val="18"/>
          <w:lang w:val="fr-BE"/>
        </w:rPr>
        <w:t> </w:t>
      </w:r>
      <w:r w:rsidRPr="00225727">
        <w:rPr>
          <w:bCs/>
          <w:sz w:val="18"/>
          <w:szCs w:val="18"/>
          <w:lang w:val="fr-BE"/>
        </w:rPr>
        <w:t>Worx</w:t>
      </w:r>
      <w:r w:rsidRPr="00225727">
        <w:rPr>
          <w:b w:val="0"/>
          <w:sz w:val="18"/>
          <w:szCs w:val="18"/>
          <w:lang w:val="fr-BE"/>
        </w:rPr>
        <w:t xml:space="preserve"> </w:t>
      </w:r>
      <w:r w:rsidRPr="00225727">
        <w:rPr>
          <w:bCs/>
          <w:sz w:val="18"/>
          <w:szCs w:val="18"/>
          <w:lang w:val="fr-BE"/>
        </w:rPr>
        <w:t>Staffing Solutions</w:t>
      </w:r>
    </w:p>
    <w:p w14:paraId="1627D8ED" w14:textId="77777777" w:rsidR="00DA5E4B" w:rsidRPr="00225727" w:rsidRDefault="00DA5E4B" w:rsidP="00000143">
      <w:pPr>
        <w:spacing w:before="0" w:after="0" w:line="276" w:lineRule="auto"/>
        <w:jc w:val="both"/>
        <w:rPr>
          <w:rFonts w:eastAsia="Times New Roman" w:cs="Arial"/>
          <w:b/>
          <w:sz w:val="18"/>
          <w:szCs w:val="18"/>
          <w:u w:val="single"/>
          <w:lang w:val="fr-FR"/>
        </w:rPr>
      </w:pPr>
      <w:r w:rsidRPr="00225727">
        <w:rPr>
          <w:rFonts w:eastAsia="Times New Roman" w:cs="Arial"/>
          <w:b/>
          <w:bCs/>
          <w:sz w:val="18"/>
          <w:szCs w:val="18"/>
          <w:u w:val="single"/>
          <w:lang w:val="fr-BE"/>
        </w:rPr>
        <w:t>SD</w:t>
      </w:r>
      <w:r w:rsidRPr="00225727">
        <w:rPr>
          <w:rFonts w:eastAsia="Times New Roman" w:cs="Arial"/>
          <w:sz w:val="18"/>
          <w:szCs w:val="18"/>
          <w:lang w:val="fr-BE"/>
        </w:rPr>
        <w:t> </w:t>
      </w:r>
      <w:r w:rsidRPr="00225727">
        <w:rPr>
          <w:rFonts w:eastAsia="Times New Roman" w:cs="Arial"/>
          <w:b/>
          <w:bCs/>
          <w:sz w:val="18"/>
          <w:szCs w:val="18"/>
          <w:u w:val="single"/>
          <w:lang w:val="fr-BE"/>
        </w:rPr>
        <w:t>Worx Staffing Solutions</w:t>
      </w:r>
      <w:r w:rsidRPr="00225727">
        <w:rPr>
          <w:rFonts w:eastAsia="Times New Roman" w:cs="Arial"/>
          <w:sz w:val="18"/>
          <w:szCs w:val="18"/>
          <w:lang w:val="fr-BE"/>
        </w:rPr>
        <w:t> </w:t>
      </w:r>
      <w:r w:rsidRPr="00225727">
        <w:rPr>
          <w:rFonts w:eastAsia="Times New Roman" w:cs="Arial"/>
          <w:b/>
          <w:bCs/>
          <w:sz w:val="18"/>
          <w:szCs w:val="18"/>
          <w:u w:val="single"/>
          <w:lang w:val="fr-BE"/>
        </w:rPr>
        <w:t>– conditions générales de prestation de services</w:t>
      </w:r>
    </w:p>
    <w:p w14:paraId="1A4F7A90" w14:textId="77777777" w:rsidR="00DA5E4B" w:rsidRPr="00225727" w:rsidRDefault="00DA5E4B" w:rsidP="00000143">
      <w:pPr>
        <w:spacing w:before="0" w:after="0" w:line="276" w:lineRule="auto"/>
        <w:jc w:val="both"/>
        <w:rPr>
          <w:rFonts w:eastAsia="Times New Roman" w:cs="Arial"/>
          <w:b/>
          <w:sz w:val="18"/>
          <w:szCs w:val="18"/>
          <w:lang w:val="fr-FR"/>
        </w:rPr>
      </w:pPr>
      <w:r w:rsidRPr="00225727">
        <w:rPr>
          <w:rFonts w:eastAsia="Times New Roman" w:cs="Arial"/>
          <w:b/>
          <w:bCs/>
          <w:sz w:val="18"/>
          <w:szCs w:val="18"/>
          <w:lang w:val="fr-BE"/>
        </w:rPr>
        <w:t>Ces dispositions font partie intégrante de la convention conclue entre SD</w:t>
      </w:r>
      <w:r w:rsidRPr="00225727">
        <w:rPr>
          <w:rFonts w:eastAsia="Times New Roman" w:cs="Arial"/>
          <w:sz w:val="18"/>
          <w:szCs w:val="18"/>
          <w:lang w:val="fr-BE"/>
        </w:rPr>
        <w:t> </w:t>
      </w:r>
      <w:r w:rsidRPr="00225727">
        <w:rPr>
          <w:rFonts w:eastAsia="Times New Roman" w:cs="Arial"/>
          <w:b/>
          <w:bCs/>
          <w:sz w:val="18"/>
          <w:szCs w:val="18"/>
          <w:lang w:val="fr-BE"/>
        </w:rPr>
        <w:t>Worx Staffing Solutions SA et l’Utilisateur dont le nom figure au recto de l’accord de coopération.</w:t>
      </w:r>
    </w:p>
    <w:p w14:paraId="761D9A89"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1. Toute mise à disposition d’intérimaires par SD Worx Staffing Solutions s’effectue exclusivement aux conditions expressément convenues par écrit au moment de la demande et les conditions générales définies ci-après, qui font partie intégrante de la convention entre l’Utilisateur et SD Worx Staffing Solutions et ont été établies conformément à la loi du 24 juillet 1987 sur le travail temporaire, le travail intérimaire et la mise de travailleurs à la disposition d’utilisateurs (ci-après la « loi du 24 juillet 1987 »).</w:t>
      </w:r>
    </w:p>
    <w:p w14:paraId="68BE6AC2"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 xml:space="preserve">Toute dérogation aux présentes conditions générales doit faire l’objet d’un accord écrit exprès. </w:t>
      </w:r>
    </w:p>
    <w:p w14:paraId="6C129161"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2. Ces conditions générales s’appliquent également lorsque l’Utilisateur confie une demande/un poste vacant à SD Worx Staffing Solutions et que SD Worx Staffing Solutions propose des candidats à l’Utilisateur.</w:t>
      </w:r>
    </w:p>
    <w:p w14:paraId="1F602E93"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 xml:space="preserve">3. D’éventuelles conditions d’achat ou autres conditions de l’Utilisateur ne sont pas applicables et sont expressément rejetées par SD Worx Staffing Solutions. </w:t>
      </w:r>
    </w:p>
    <w:p w14:paraId="47E78C74"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 xml:space="preserve">4. Conformément à la CCT no 38, SD Worx Staffing Solutions ne peut pas traiter les candidats de manière discriminatoire. Par conséquent, l’Utilisateur ne peut formuler dans sa demande que des critères pertinents au vu de la fonction. </w:t>
      </w:r>
    </w:p>
    <w:p w14:paraId="190409D2"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5.  L’Utilisateur s’engage à informer SD Worx Staffing Solutions immédiatement et par écrit de toutes les informations nécessaires et pertinentes pour la fonction et de tous changements, au début et pendant toute la durée de la convention.</w:t>
      </w:r>
    </w:p>
    <w:p w14:paraId="4AF9824C"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Cela implique que l’Utilisateur communique entre autres les données suivantes à SD Worx Staffing Solutions :</w:t>
      </w:r>
    </w:p>
    <w:p w14:paraId="6108829C"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 les motifs de recours au travail intérimaire et la présence ou non d’une représentation syndicale ;</w:t>
      </w:r>
    </w:p>
    <w:p w14:paraId="1E87952F"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 les conditions salariales du personnel fixe, y compris les primes et avantages divers habituels dans l’entreprise de l’Utilisateur, ainsi que les conditions d’octroi ;</w:t>
      </w:r>
    </w:p>
    <w:p w14:paraId="5272DEE0"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 les temps de travail, les pauses, la durée du travail, les activités, le lieu d’emploi, la durée prévue de la mission, et éventuellement la fiche poste de travail, la qualification professionnelle requise, le résultat des évaluations des risques, la surveillance médicale et les équipements de protection individuelle ;</w:t>
      </w:r>
    </w:p>
    <w:p w14:paraId="1BDD1710"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 les situations possibles de grève ou lock-out ou d’autres formes de chômage temporaire ;</w:t>
      </w:r>
    </w:p>
    <w:p w14:paraId="0BCA7292"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 un éventuel accident du travail ;</w:t>
      </w:r>
    </w:p>
    <w:p w14:paraId="7099EF87"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 toute modification de début, de durée et de fin du contrat de travail intérimaire en cours qui a une incidence sur la déclaration Dimona à effectuer par SD Worx Staffing Solutions ;</w:t>
      </w:r>
    </w:p>
    <w:p w14:paraId="5C86F97D"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 le retard ou l’absence des intérimaires ;</w:t>
      </w:r>
    </w:p>
    <w:p w14:paraId="411E1C88"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 le non-renouvellement d’une mission.</w:t>
      </w:r>
    </w:p>
    <w:p w14:paraId="1947B2FC" w14:textId="6F6676A2" w:rsidR="000141AC" w:rsidRPr="00BC775C"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SD Worx Staffing Solutions n’assure que le détachement des intérimaires à l’étranger, l’exception en France, aux Pays-Bas ou en Allemagne. Si l’Utilisateur souhaite que l’intérimaire preste des prestations en France, aux Pays-Bas ou en Allemagne, il doit en informer SD Worx Staffing Solutions par écrit avant le détachement de l’intérimaire. SD Worx Staffing Solutions doit donner son Contrat exprès préalable à cet égard. L’Utilisateur préserve SD Worx Staffing Solutions contre toutes les conséquences découlant du non-respect de cette obligation.</w:t>
      </w:r>
      <w:r w:rsidR="00BC775C">
        <w:rPr>
          <w:rFonts w:eastAsia="Times New Roman" w:cs="Arial"/>
          <w:sz w:val="18"/>
          <w:szCs w:val="18"/>
          <w:lang w:val="fr-FR"/>
        </w:rPr>
        <w:t xml:space="preserve"> </w:t>
      </w:r>
      <w:r w:rsidRPr="00225727">
        <w:rPr>
          <w:rFonts w:eastAsia="Times New Roman" w:cs="Arial"/>
          <w:sz w:val="18"/>
          <w:szCs w:val="18"/>
          <w:lang w:val="fr-BE"/>
        </w:rPr>
        <w:t>L’Utilisateur est seul responsable des conséquences découlant du défaut de communication, de la communication tardive ou d’une communication insuffisante ou erronée de ces informations. Toutes les rectifications et/ou tous les frais qui en découleraient seront facturés en supplément à l’Utilisateur. L’Utilisateur préservera SD Worx Staffing Solutions de toute réclamation de tiers à cet égard.</w:t>
      </w:r>
      <w:r w:rsidR="00BC775C">
        <w:rPr>
          <w:rFonts w:eastAsia="Times New Roman" w:cs="Arial"/>
          <w:sz w:val="18"/>
          <w:szCs w:val="18"/>
          <w:lang w:val="fr-FR"/>
        </w:rPr>
        <w:t xml:space="preserve"> </w:t>
      </w:r>
      <w:r w:rsidRPr="00225727">
        <w:rPr>
          <w:rFonts w:eastAsia="Times New Roman" w:cs="Arial"/>
          <w:sz w:val="18"/>
          <w:szCs w:val="18"/>
          <w:lang w:val="fr-BE"/>
        </w:rPr>
        <w:t xml:space="preserve">L’Utilisateur s’engage également à fournir toutes les informations pertinentes et nécessaires à SD Worx Staffing Solutions afin de permettre à SD Worx Staffing Solutions de respecter correctement les obligations de publication d’informations dans le cadre de la </w:t>
      </w:r>
      <w:proofErr w:type="spellStart"/>
      <w:r w:rsidRPr="00225727">
        <w:rPr>
          <w:rFonts w:eastAsia="Times New Roman" w:cs="Arial"/>
          <w:sz w:val="18"/>
          <w:szCs w:val="18"/>
          <w:lang w:val="fr-BE"/>
        </w:rPr>
        <w:t>Corporate</w:t>
      </w:r>
      <w:proofErr w:type="spellEnd"/>
      <w:r w:rsidRPr="00225727">
        <w:rPr>
          <w:rFonts w:eastAsia="Times New Roman" w:cs="Arial"/>
          <w:sz w:val="18"/>
          <w:szCs w:val="18"/>
          <w:lang w:val="fr-BE"/>
        </w:rPr>
        <w:t xml:space="preserve"> </w:t>
      </w:r>
      <w:proofErr w:type="spellStart"/>
      <w:r w:rsidRPr="00225727">
        <w:rPr>
          <w:rFonts w:eastAsia="Times New Roman" w:cs="Arial"/>
          <w:sz w:val="18"/>
          <w:szCs w:val="18"/>
          <w:lang w:val="fr-BE"/>
        </w:rPr>
        <w:t>Sustainability</w:t>
      </w:r>
      <w:proofErr w:type="spellEnd"/>
      <w:r w:rsidRPr="00225727">
        <w:rPr>
          <w:rFonts w:eastAsia="Times New Roman" w:cs="Arial"/>
          <w:sz w:val="18"/>
          <w:szCs w:val="18"/>
          <w:lang w:val="fr-BE"/>
        </w:rPr>
        <w:t xml:space="preserve"> </w:t>
      </w:r>
      <w:proofErr w:type="spellStart"/>
      <w:r w:rsidRPr="00225727">
        <w:rPr>
          <w:rFonts w:eastAsia="Times New Roman" w:cs="Arial"/>
          <w:sz w:val="18"/>
          <w:szCs w:val="18"/>
          <w:lang w:val="fr-BE"/>
        </w:rPr>
        <w:t>Reporting</w:t>
      </w:r>
      <w:proofErr w:type="spellEnd"/>
      <w:r w:rsidRPr="00225727">
        <w:rPr>
          <w:rFonts w:eastAsia="Times New Roman" w:cs="Arial"/>
          <w:sz w:val="18"/>
          <w:szCs w:val="18"/>
          <w:lang w:val="fr-BE"/>
        </w:rPr>
        <w:t xml:space="preserve"> Directive (CSRD – Directive européenne en ce qui concerne la publication d’informations en matière de durabilité par les entreprises).</w:t>
      </w:r>
    </w:p>
    <w:p w14:paraId="6EAA376C" w14:textId="77777777" w:rsidR="00DA5E4B" w:rsidRPr="00225727" w:rsidRDefault="00DA5E4B" w:rsidP="00000143">
      <w:pPr>
        <w:spacing w:before="0" w:after="0" w:line="276" w:lineRule="auto"/>
        <w:jc w:val="both"/>
        <w:rPr>
          <w:rFonts w:ascii="Times New Roman" w:hAnsi="Times New Roman"/>
          <w:sz w:val="18"/>
          <w:szCs w:val="18"/>
          <w:lang w:val="fr-FR"/>
        </w:rPr>
      </w:pPr>
      <w:r w:rsidRPr="00225727">
        <w:rPr>
          <w:sz w:val="18"/>
          <w:szCs w:val="18"/>
          <w:lang w:val="fr-BE"/>
        </w:rPr>
        <w:t>6.  L’Utilisateur assume la responsabilité de l’application correcte des motifs et délais relatifs au travail intérimaire. Dans ce cadre et dans les cas définis par la loi, il se charge des autorisations et annonces nécessaires relatives à la mise à disposition d’intérimaires. En cas de contrats journaliers successifs, l’Utilisateur garantit que ceux-ci sont justifiés par les besoins de flexibilité propres à son entreprise. Le cas échéant, les sanctions légales imposées à SD Worx Staffing Solutions en l’absence de justification seront répercutées sur l’Utilisateur, aux conditions de facturation telles qu’elles étaient en vigueur au moment de la mise à disposition.</w:t>
      </w:r>
      <w:r w:rsidRPr="00225727">
        <w:rPr>
          <w:rFonts w:ascii="Times New Roman" w:hAnsi="Times New Roman"/>
          <w:sz w:val="18"/>
          <w:szCs w:val="18"/>
          <w:lang w:val="fr-BE"/>
        </w:rPr>
        <w:t xml:space="preserve"> </w:t>
      </w:r>
    </w:p>
    <w:p w14:paraId="131D2E30" w14:textId="77777777" w:rsidR="00DA5E4B" w:rsidRPr="00225727" w:rsidRDefault="00DA5E4B" w:rsidP="00000143">
      <w:pPr>
        <w:spacing w:before="0" w:after="0" w:line="276" w:lineRule="auto"/>
        <w:jc w:val="both"/>
        <w:rPr>
          <w:rFonts w:cs="Arial"/>
          <w:sz w:val="18"/>
          <w:szCs w:val="18"/>
          <w:lang w:val="fr-FR"/>
        </w:rPr>
      </w:pPr>
      <w:r w:rsidRPr="00225727">
        <w:rPr>
          <w:rFonts w:cs="Arial"/>
          <w:sz w:val="18"/>
          <w:szCs w:val="18"/>
          <w:lang w:val="fr-BE"/>
        </w:rPr>
        <w:t>Dans le cadre de la demande d’un intérimaire pour un flexi-job, il incombe à l’Utilisateur de vérifier si toutes les conditions de la législation flexi-job sont remplies (notamment : secteur autorisé, code NACE pour l’activité principale, fonction, salaire maximum, interdiction d’emploi dans sa propre entreprise ou dans une société liée…). Si le statut de flexi-job s’avère par la suite non autorisé, pour quelque motif que ce soit, SD Worx Staffing Solutions requalifiera les prestations de l’intérimaire concerné en emploi régulier et facturera ces prestations à l’Utilisateur aux coefficients ordinaires d’application à la fonction. Dans le cadre de l’emploi d’un intérimaire dans un flexi-job, l’Utilisateur doit communiquer à temps toute adaptation des temps de travail convenus, afin que SD Worx Staffing Solutions puisse adapter la Dimona dans le délai légal. À défaut, SD Worx Staffing Solutions est redevable au minimum des heures contractuelles, qui seront facturées à l’Utilisateur.</w:t>
      </w:r>
    </w:p>
    <w:p w14:paraId="618195F7"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7.  SD Worx Staffing Solutions n’est en aucun cas responsable des conséquences de l’absence et/ou du retard de ses intérimaires.</w:t>
      </w:r>
    </w:p>
    <w:p w14:paraId="4C64A3D1" w14:textId="21E61CFF"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 xml:space="preserve">8.  L’Utilisateur ne peut pas faire appel aux services de SD Worx Staffing Solutions en cas de chômage temporaire, de grève ou de lock-out dans son entreprise. Le cas échéant, l’Utilisateur doit en informer immédiatement SD Worx Staffing Solutions par écrit. Le rappel obligatoire des intérimaires dans ces cas ne donne pas lieu au paiement de dommages et intérêts par SD Worx Staffing </w:t>
      </w:r>
      <w:r w:rsidRPr="00225727">
        <w:rPr>
          <w:rFonts w:eastAsia="Times New Roman" w:cs="Arial"/>
          <w:sz w:val="18"/>
          <w:szCs w:val="18"/>
          <w:lang w:val="fr-BE"/>
        </w:rPr>
        <w:lastRenderedPageBreak/>
        <w:t>Solutions à l’Utilisateur.</w:t>
      </w:r>
      <w:r w:rsidR="00BC775C">
        <w:rPr>
          <w:rFonts w:eastAsia="Times New Roman" w:cs="Arial"/>
          <w:sz w:val="18"/>
          <w:szCs w:val="18"/>
          <w:lang w:val="fr-FR"/>
        </w:rPr>
        <w:t xml:space="preserve"> </w:t>
      </w:r>
      <w:r w:rsidRPr="00225727">
        <w:rPr>
          <w:rFonts w:eastAsia="Times New Roman" w:cs="Arial"/>
          <w:sz w:val="18"/>
          <w:szCs w:val="18"/>
          <w:lang w:val="fr-BE"/>
        </w:rPr>
        <w:t>Si l’Utilisateur souhaite introduire le chômage temporaire pour les intérimaires, l’Utilisateur doit en informer SD Worx Staffing Solutions à temps afin que SD Worx Staffing Solutions puisse remplir ses obligations légales. À défaut d’avertissement à temps, les intérimaires ne pourront pas recourir au chômage temporaire et l’Utilisateur devra payer le salaire à SD Worx Staffing Solutions au coefficient convenu. Si le chômage temporaire est refusé, tous les frais seront facturés à l’Utilisateur.</w:t>
      </w:r>
    </w:p>
    <w:p w14:paraId="4BED64CA"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 xml:space="preserve">9.  Pendant la durée de la mise à disposition de l’intérimaire chez l’Utilisateur, l’Utilisateur veille, conformément à l’article 19 de la loi du 24 juillet 1987, à l’application des dispositions de la loi sur la réglementation et la protection du travail en vigueur à l’endroit de la mise à disposition. L’Utilisateur doit ainsi traiter les intérimaires sur un pied d’égalité avec son personnel fixe, entre autres en ce qui concerne le temps de travail, la réduction du temps de travail, les compensations, les pauses, les jours fériés, le travail le dimanche, le travail de nuit, le bien-être de l’intérimaire au travail, etc. </w:t>
      </w:r>
    </w:p>
    <w:p w14:paraId="6D406761"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L’Utilisateur est responsable de l’organisation de toutes les formations possibles liées au travail de l’intérimaire (par ex., en vue de la sécurité sur le lieu de travail).</w:t>
      </w:r>
    </w:p>
    <w:p w14:paraId="3791BEE7" w14:textId="2480D14A"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10.  SD Worx Staffing Solutions est lié par une obligation de moyens et choisit l’intérimaire en personne prudente et raisonnable, sur la base des qualifications communiquées par l’Utilisateur et sur la base des compétences, de l’expérience et de l’attitude de l’intérimaire.</w:t>
      </w:r>
      <w:r w:rsidR="00BC775C">
        <w:rPr>
          <w:rFonts w:eastAsia="Times New Roman" w:cs="Arial"/>
          <w:sz w:val="18"/>
          <w:szCs w:val="18"/>
          <w:lang w:val="fr-FR"/>
        </w:rPr>
        <w:t xml:space="preserve"> </w:t>
      </w:r>
      <w:r w:rsidRPr="00225727">
        <w:rPr>
          <w:rFonts w:eastAsia="Times New Roman" w:cs="Arial"/>
          <w:sz w:val="18"/>
          <w:szCs w:val="18"/>
          <w:lang w:val="fr-BE"/>
        </w:rPr>
        <w:t xml:space="preserve">SD Worx Staffing Solutions s’efforce de proposer un candidat potentiellement approprié à temps. SD Worx Staffing Solutions n’est pas tenue d’indemniser l’Utilisateur pour tout dommage ou tous frais encourus si SD Worx Staffing Solutions n’est pas à même de proposer un candidat (à temps), pour quelque motif que ce soit. </w:t>
      </w:r>
    </w:p>
    <w:p w14:paraId="04A962F0" w14:textId="66E4A32E"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SD Worx Staffing Solutions n’est pas responsable si un candidat proposé par SD Worx Staffing Solutions ne peut pas être mis à la disposition de l’Utilisateur en tant qu’intérimaire, pour quelque motif que ce soit, ou si une mission d’intérim engagée prend fin (prématurément). L’Utilisateur ne peut rejeter un candidat proposé que pour des raisons liées à la fonction ou pour d’autres raisons légitimes.</w:t>
      </w:r>
      <w:r w:rsidR="00BC775C">
        <w:rPr>
          <w:rFonts w:eastAsia="Times New Roman" w:cs="Arial"/>
          <w:sz w:val="18"/>
          <w:szCs w:val="18"/>
          <w:lang w:val="fr-FR"/>
        </w:rPr>
        <w:t xml:space="preserve"> </w:t>
      </w:r>
      <w:r w:rsidRPr="00225727">
        <w:rPr>
          <w:rFonts w:eastAsia="Times New Roman" w:cs="Arial"/>
          <w:sz w:val="18"/>
          <w:szCs w:val="18"/>
          <w:lang w:val="fr-BE"/>
        </w:rPr>
        <w:t xml:space="preserve">Si l’Utilisateur effectue lui-même la sélection des candidats intérimaires, l’Utilisateur est seul et entièrement responsable de cette sélection, et la responsabilité de SD Worx Staffing Solutions ne peut jamais être engagée. </w:t>
      </w:r>
    </w:p>
    <w:p w14:paraId="714531A1"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11. La responsabilité civile, conformément à l’article 1384, alinéa 3, de l’ancien Code civil, incombe à l’Utilisateur. Par conséquent, l’Utilisateur est seul responsable de tous les dommages causés par l’intérimaire à des tiers. L’inclusion d’une « clause travail intérimaire » dans l’assurance responsabilité civile de l’Utilisateur est recommandée.</w:t>
      </w:r>
    </w:p>
    <w:p w14:paraId="068DE048"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SD Worx Staffing Solutions n’est pas non plus responsable des dommages causés par l’intérimaire à l’Utilisateur pendant sa mise à disposition auprès de l’Utilisateur et à la suite de celle-ci. La responsabilité de SD Worx Staffing Solutions n’est pas non plus engagée en cas de dommages, de perte, de vol ou de disparition de matériel, d’argent ou de biens confiés à l’intérimaire.</w:t>
      </w:r>
    </w:p>
    <w:p w14:paraId="0BE1E820"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 xml:space="preserve">SD Worx Staffing Solutions n’est pas non plus responsable des prêts ou provisions éventuellement </w:t>
      </w:r>
      <w:proofErr w:type="spellStart"/>
      <w:r w:rsidRPr="00225727">
        <w:rPr>
          <w:rFonts w:eastAsia="Times New Roman" w:cs="Arial"/>
          <w:sz w:val="18"/>
          <w:szCs w:val="18"/>
          <w:lang w:val="fr-BE"/>
        </w:rPr>
        <w:t>Contratés</w:t>
      </w:r>
      <w:proofErr w:type="spellEnd"/>
      <w:r w:rsidRPr="00225727">
        <w:rPr>
          <w:rFonts w:eastAsia="Times New Roman" w:cs="Arial"/>
          <w:sz w:val="18"/>
          <w:szCs w:val="18"/>
          <w:lang w:val="fr-BE"/>
        </w:rPr>
        <w:t xml:space="preserve"> à l’intérimaire par l’Utilisateur. En outre, le règlement de frais découlant, entre autres, de l’utilisation du téléphone à des fins privées, des repas au restaurant d’entreprise ou des achats autorisés, etc., doivent s’effectuer sans la médiation de SD Worx Staffing Solutions.</w:t>
      </w:r>
    </w:p>
    <w:p w14:paraId="18FEFC3B" w14:textId="40AE298B" w:rsidR="00DA5E4B" w:rsidRPr="00225727" w:rsidRDefault="00DA5E4B" w:rsidP="00000143">
      <w:pPr>
        <w:spacing w:before="0" w:after="0" w:line="276" w:lineRule="auto"/>
        <w:jc w:val="both"/>
        <w:rPr>
          <w:rFonts w:cs="Arial"/>
          <w:sz w:val="18"/>
          <w:szCs w:val="18"/>
          <w:lang w:val="fr-FR"/>
        </w:rPr>
      </w:pPr>
      <w:r w:rsidRPr="00225727">
        <w:rPr>
          <w:rFonts w:cs="Arial"/>
          <w:sz w:val="18"/>
          <w:szCs w:val="18"/>
          <w:lang w:val="fr-BE"/>
        </w:rPr>
        <w:t xml:space="preserve">Les Parties conviennent expressément que les dispositions de l’article 6.3 du Livre 6 du nouveau Code civil ne s’appliquent pas au Contrat entre l’Utilisateur et SD Worx Staffing Solutions. En outre, aucune Partie n’a le droit d’introduire une quelconque réclamation en responsabilité extracontractuelle en vertu de l’article 6.3 du nouveau Code civil à l’encontre de l’autre Partie ou d’un auxiliaire de cette autre Partie (ou d’une de ses sociétés liées) aux motifs du présent Contrat. </w:t>
      </w:r>
      <w:r w:rsidR="00BC775C">
        <w:rPr>
          <w:rFonts w:cs="Arial"/>
          <w:sz w:val="18"/>
          <w:szCs w:val="18"/>
          <w:lang w:val="fr-FR"/>
        </w:rPr>
        <w:t xml:space="preserve"> </w:t>
      </w:r>
      <w:r w:rsidRPr="00225727">
        <w:rPr>
          <w:rFonts w:cs="Arial"/>
          <w:sz w:val="18"/>
          <w:szCs w:val="18"/>
          <w:lang w:val="fr-BE"/>
        </w:rPr>
        <w:t xml:space="preserve">Les auxiliaires concernés sont des tiers bénéficiaires de cette clause. </w:t>
      </w:r>
    </w:p>
    <w:p w14:paraId="091F157D"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12.  L’intérimaire est lié à SD Worx Staffing Solutions par un contrat de travail et reste donc à tout moment un travailleur salarié de SD Worx Staffing Solutions, qui relève de l’autorité et de la surveillance de l’Utilisateur. Bien que l’intérimaire reste soumis aux dispositions qui définissent les relations entre SD Worx Staffing Solutions en tant qu’employeur et l’intérimaire en tant que travailleur, l’intérimaire doit se conformer exclusivement aux directives de l’Utilisateur auprès duquel il exécute la mission qui lui a été confiée lors de l’exécution des activités à cet égard.</w:t>
      </w:r>
    </w:p>
    <w:p w14:paraId="68C4B2E4" w14:textId="171D807F"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13. Conformément à l’article 10 de la loi du 24 juillet 1987, les intérimaires ont droit au même salaire brut, y compris les indexations et les augmentations conventionnelles, les primes, les chèques-repas et les autres composantes salariales, comme s’ils étaient engagés comme travailleurs permanents par l’Utilisateur.</w:t>
      </w:r>
      <w:r w:rsidR="00BC775C">
        <w:rPr>
          <w:rFonts w:eastAsia="Times New Roman" w:cs="Arial"/>
          <w:sz w:val="18"/>
          <w:szCs w:val="18"/>
          <w:lang w:val="fr-FR"/>
        </w:rPr>
        <w:t xml:space="preserve"> </w:t>
      </w:r>
      <w:r w:rsidRPr="00225727">
        <w:rPr>
          <w:rFonts w:eastAsia="Times New Roman" w:cs="Arial"/>
          <w:sz w:val="18"/>
          <w:szCs w:val="18"/>
          <w:lang w:val="fr-BE"/>
        </w:rPr>
        <w:t>Sur la base de l’article 5 des présentes conditions générales, l’Utilisateur doit communiquer ces données salariales à SD Worx Staffing Solutions. L’Utilisateur est seul responsable des conséquences découlant du défaut de communication, de la communication tardive ou d’une communication incomplète ou erronée de ces informations. Toutes les rectifications et/ou tous les frais qui en découleraient seront facturés en supplément à l’Utilisateur.</w:t>
      </w:r>
    </w:p>
    <w:p w14:paraId="5D0FC24C"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14.  L’intérimaire bénéficie du même niveau de protection en matière d’hygiène et de sécurité au travail que les autres travailleurs de l’entreprise. L’intérimaire peut uniquement exécuter les activités mentionnées sur la fiche poste de travail ou, si aucune fiche poste de travail n’est requise, celles qui sont mentionnées dans les conditions commerciales particulières, et notamment dans la description du poste de travail, la qualification professionnelle requise et le résultat de l’évaluation des risques.</w:t>
      </w:r>
    </w:p>
    <w:p w14:paraId="42FC5211" w14:textId="318BEC3F"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Conformément à l’arrêté royal du 15 décembre 2010, l’Utilisateur doit, dans les cas constatés, compléter la fiche poste de travail et la remettre à SD Worx Staffing Solutions avant la mise à disposition de l’intérimaire.</w:t>
      </w:r>
      <w:r w:rsidR="00BC775C">
        <w:rPr>
          <w:rFonts w:eastAsia="Times New Roman" w:cs="Arial"/>
          <w:sz w:val="18"/>
          <w:szCs w:val="18"/>
          <w:lang w:val="fr-FR"/>
        </w:rPr>
        <w:t xml:space="preserve"> </w:t>
      </w:r>
      <w:r w:rsidRPr="00225727">
        <w:rPr>
          <w:rFonts w:eastAsia="Times New Roman" w:cs="Arial"/>
          <w:sz w:val="18"/>
          <w:szCs w:val="18"/>
          <w:lang w:val="fr-BE"/>
        </w:rPr>
        <w:t>Lors de la rédaction de cette fiche poste de travail, l’Utilisateur a demandé l’avis de son service de prévention et de son médecin du travail.</w:t>
      </w:r>
      <w:r w:rsidR="00BC775C">
        <w:rPr>
          <w:rFonts w:eastAsia="Times New Roman" w:cs="Arial"/>
          <w:sz w:val="18"/>
          <w:szCs w:val="18"/>
          <w:lang w:val="fr-FR"/>
        </w:rPr>
        <w:t xml:space="preserve"> </w:t>
      </w:r>
      <w:r w:rsidRPr="00225727">
        <w:rPr>
          <w:rFonts w:eastAsia="Times New Roman" w:cs="Arial"/>
          <w:sz w:val="18"/>
          <w:szCs w:val="18"/>
          <w:lang w:val="fr-BE"/>
        </w:rPr>
        <w:t>L’Utilisateur assume (conformément à l’article 11, 2° de l’arrêté royal du 15 décembre 2010) la responsabilité finale de la mise à disposition de vêtements de travail et d’équipements de protection individuelle, ainsi que de leur nettoyage, de leur réparation et de leur entretien en état normal d’usage, même si un Contrat commercial dérogatoire a été conclu avec SD Worx Staffing Solutions pour fournir ces vêtements et équipements.</w:t>
      </w:r>
    </w:p>
    <w:p w14:paraId="64E52021"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 xml:space="preserve">L’Utilisateur ne peut donc imposer à l’intérimaire que la tâche pour laquelle il a été mis à disposition. Sauf convention contraire, l’intérimaire n’exécute pas de travaux régis par une réglementation de protection particulière, tels que des travaux insalubres, dangereux, souterrains et en hauteur. Sauf convention contraire, l’intérimaire ne reçoit pas de mission de travail à l’étranger. Conformément aux art. 2 et 4 de la CCT du 8 septembre 1993, l’Utilisateur organise, au moment où l’intérimaire commence sa </w:t>
      </w:r>
      <w:r w:rsidRPr="00225727">
        <w:rPr>
          <w:rFonts w:eastAsia="Times New Roman" w:cs="Arial"/>
          <w:sz w:val="18"/>
          <w:szCs w:val="18"/>
          <w:lang w:val="fr-BE"/>
        </w:rPr>
        <w:lastRenderedPageBreak/>
        <w:t>mission, l’accueil et l’adaptation des intérimaires nouvellement mis à disposition dans l’entreprise, et tient compte de ces derniers lors de la fixation des mesures à prendre pour favoriser l’accueil dans l’entreprise.</w:t>
      </w:r>
    </w:p>
    <w:p w14:paraId="450E768B"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15. En cas d’accident du travail d’un travailleur intérimaire, l’Utilisateur devra, après avoir pris toutes les mesures urgentes, fourni les premiers secours et fait appel à un médecin ou à un établissement de soins le cas échéant, avertir immédiatement SD Worx Staffing Solutions et lui fournir toutes les informations nécessaires pour l’établissement de la déclaration d’accident. En cas de retard ou de négligence, la responsabilité de l’Utilisateur pourra être directement engagée.</w:t>
      </w:r>
    </w:p>
    <w:p w14:paraId="56E68331"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L’Utilisateur remet à SD Worx Staffing Solutions les fiches de poste de travail complétées et signées nécessaires avant le début de l’emploi de l’intérimaire. Si un intérimaire de SD Worx Staffing Solutions est impliqué dans un accident du travail, l’Utilisateur, après avoir pris toutes les mesures urgentes, avertira immédiatement SD Worx Staffing Solutions et lui fournira les informations nécessaires à l’établissement de la déclaration d’accident au moyen du formulaire mis à disposition. Conformément à l’art. 94ter, § 1</w:t>
      </w:r>
      <w:r w:rsidRPr="00225727">
        <w:rPr>
          <w:rFonts w:eastAsia="Times New Roman" w:cs="Arial"/>
          <w:sz w:val="18"/>
          <w:szCs w:val="18"/>
          <w:vertAlign w:val="superscript"/>
          <w:lang w:val="fr-BE"/>
        </w:rPr>
        <w:t>er</w:t>
      </w:r>
      <w:r w:rsidRPr="00225727">
        <w:rPr>
          <w:rFonts w:eastAsia="Times New Roman" w:cs="Arial"/>
          <w:sz w:val="18"/>
          <w:szCs w:val="18"/>
          <w:lang w:val="fr-BE"/>
        </w:rPr>
        <w:t xml:space="preserve"> de la loi relative au bien-être du 4 août 1996, le conseiller en prévention de l’Utilisateur examine tout accident grave qui est arrivé à l’intérimaire. Conformément au même article 94ter, § 2 de la loi relative au bien-être, le conseiller en prévention de l’Utilisateur prend contact avec l’expert en prévention de SD Worx Staffing Solutions, qui collabore à l’enquête, et des mesures visant à éviter des accidents similaires avec des intérimaires à l’avenir sont discutées. Le conseiller en prévention de l’Utilisateur établit le compte rendu circonstancié. Les mesures respectives qui seront prises par l’Utilisateur et SD Worx Staffing Solutions sur la base de ce compte rendu sont notées et signées par eux sur le rapport qui sera finalement envoyé par l’Utilisateur au Service d’inspection fédéral, et ce, dans les 10 jours suivant l’accident. L’Utilisateur déclare par la présente avoir pris connaissance de l’AR du 25 avril 2007 relatif à l’accueil et à l’accompagnement des travailleurs concernant la protection du bien-être lors de l’exécution de leur travail. Concrètement, cela signifie que l’Utilisateur est responsable de l’accueil et de l’accompagnement des nouveaux intérimaires.</w:t>
      </w:r>
    </w:p>
    <w:p w14:paraId="6443E0B1"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 xml:space="preserve">16. L’Utilisateur est seul responsable du renvoi de la fiche client signée et (du contrôle) du renvoi des états des prestations remplis et signés. À défaut, l’Utilisateur ne peut invoquer la non-signature au détriment de SD Worx Staffing Solutions et SD Worx Staffing Solutions facturera à l’Utilisateur les heures réellement prestées par l’intérimaire, s’agissant au minimum des heures de travail convenues contractuellement. </w:t>
      </w:r>
    </w:p>
    <w:p w14:paraId="1B0FC3BD"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17. En signant l’état des prestations, l’Utilisateur confirme l’exactitude des heures prestées indiquées et l’exécution des travaux effectués par l’intérimaire. Cette signature a lieu sans délai à l’issue des heures prestées, qui sont décrites sur l’état des prestations concerné, afin que l’Utilisateur n’entrave en rien un traitement rapide et correct du paiement du salaire par SD Worx Staffing Solutions. L’Utilisateur ne peut contester la validité de la signature de ses préposés ou de ses mandataires.</w:t>
      </w:r>
    </w:p>
    <w:p w14:paraId="46D4F08B"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En cas de traitement automatique des heures prestées, l’Utilisateur accepte toujours les données des heures prestées telles qu’elles sont transmises de manière automatisée ou électronique à SD Worx Staffing Solutions, sauf convention écrite contraire. L’Utilisateur est seul responsable en cas d’erreurs dans l’envoi automatisé.</w:t>
      </w:r>
    </w:p>
    <w:p w14:paraId="721CD7E3"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18.  La facturation s’effectue sur la base des heures prestées telles que mentionnées sur les états des prestations ou transmises par la voie électronique par l’Utilisateur, avec au minimum les heures demandées par l’Utilisateur, sauf si moins d’heures ont été prestées du fait exclusif de l’intérimaire et sous réserve que l’obligation d’information stipulée à l’article 5 des présentes conditions a été respectée. À défaut d’états des prestations remplis et signés par l’Utilisateur, la facturation s’effectue sur la base des heures réellement prestées par l’intérimaire, avec un minimum des heures demandées par l’Utilisateur. Dans ce cadre, toutes les heures et tous les jours libres octroyés et payés par l’Utilisateur à son personnel fixe, tels que les jours fériés extralégaux, les jours de vacances, les jours de pont, etc., auxquels l’intérimaire a également droit, sont de même considérés comme des heures prestées et facturés à l’Utilisateur.</w:t>
      </w:r>
    </w:p>
    <w:p w14:paraId="57932609"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Ce prix de facturation initial est majoré du coefficient et/ou du tarif convenus. Ce coefficient et/ou ce tarif fait/font l’objet d’une majoration unilatérale par SD Worx Staffing Solutions en cas d’augmentation des cotisations patronales directes ou indirectes, ainsi que de tous les autres facteurs éventuels qui déterminent les coûts salariaux réels. Ce tarif fait également l’objet d’une majoration unilatérale par SD Worx Staffing Solutions en cas d’augmentation du salaire de base de l’intérimaire du fait des indexations et des augmentations salariales conventionnelles d’application chez l’Utilisateur.</w:t>
      </w:r>
    </w:p>
    <w:p w14:paraId="432709CD"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La facturation inclut les autres composantes salariales telles que définies à l’article 13 des présentes conditions et dans les autres Contrats de prix écrits, TVA applicable comprise.</w:t>
      </w:r>
    </w:p>
    <w:p w14:paraId="4BAFD1D7"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Pour les prestations particulières (comme les heures supplémentaires, le travail en équipes, de nuit, les dimanches et jours fériés, etc.) l’intérimaire est rémunéré conformément à la loi et/ou à la CCT applicable à l’Utilisateur. Le supplément de rémunération à payer est facturé à l’Utilisateur avec le même coefficient que celui qui s’applique au salaire de base de l’intérimaire ou qui est utilisé pour le calcul du tarif.</w:t>
      </w:r>
    </w:p>
    <w:p w14:paraId="3312132D"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19.  Toutes les plaintes relatives aux factures devront parvenir à SD Worx Staffing Solutions par lettre recommandée motivée dans les huit jours calendrier suivant la date de la facture. Passé ce délai, la plainte sera irrecevable.</w:t>
      </w:r>
    </w:p>
    <w:p w14:paraId="577678AB"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20. Les factures de SD Worx Staffing Solutions sont payables à l’échéance mentionnée sur la facture, sauf contrat écrit contraire. En cas de défaut de paiement à l’échéance d’une facture, SD Worx Staffing Solutions envoie un message de mise en demeure (par ex. par e-mail/par courrier) à l’Utilisateur en défaut.  En cas de non-paiement d’une facture, un intérêt de 1 % par mois est dû après le deuxième avis de mise en demeure, calculé sur le montant de la facture impayé, majoré de la TVA, et ce, à partir de l’échéance initiale de la facture. En outre, des dommages et intérêts forfaitaires uniques de 100 EUR sont dus.</w:t>
      </w:r>
    </w:p>
    <w:p w14:paraId="58A6DD13" w14:textId="04C6114A"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Toute modalité de paiement octroyée par écrit échoit de plein droit dès lors que SD Worx Staffing Solutions doit procéder au recouvrement judiciaire des factures en souffrance à charge de l’Utilisateur. En cas de mise en demeure écrite, d’assignations de l’ONSS ou de tout autre signe mettant en doute la solvabilité de l’Utilisateur, les modalités de paiement octroyées par SD Worx Staffing Solutions échoient également de plein droit. En pareil cas, toutes les factures (y compris celles qui ne sont pas encore échues) deviennent également exigibles de plein droit.</w:t>
      </w:r>
      <w:r w:rsidR="0009492E">
        <w:rPr>
          <w:rFonts w:eastAsia="Times New Roman" w:cs="Arial"/>
          <w:sz w:val="18"/>
          <w:szCs w:val="18"/>
          <w:lang w:val="fr-FR"/>
        </w:rPr>
        <w:t xml:space="preserve"> </w:t>
      </w:r>
      <w:r w:rsidRPr="00225727">
        <w:rPr>
          <w:rFonts w:eastAsia="Times New Roman" w:cs="Arial"/>
          <w:sz w:val="18"/>
          <w:szCs w:val="18"/>
          <w:lang w:val="fr-BE"/>
        </w:rPr>
        <w:t>L’intérimaire n’est pas autorisé à encaisser des factures.</w:t>
      </w:r>
    </w:p>
    <w:p w14:paraId="147BF60D"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lastRenderedPageBreak/>
        <w:t>SD Worx Staffing Solutions se réserve le droit d’appliquer l’article 1289 de l’ancien Code civil en matière de compensation de dettes. Dans la mesure du possible, cet article continue à sortir ses effets en cas d’application de la Loi relative à la continuité des entreprises.</w:t>
      </w:r>
    </w:p>
    <w:p w14:paraId="729B0385"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21. Conformément à l’art. 17 de la loi du 24 juillet 1987, il est demandé à l’Utilisateur de transmettre un exemplaire du contrat/de la fiche client à SD Worx Staffing Solutions dans les sept jours ouvrables à partir du début de la mise à disposition. Il s’agit de la fiche client dont il est question à l’article 16.</w:t>
      </w:r>
    </w:p>
    <w:p w14:paraId="3FE30B5D"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22. Si l’Utilisateur ne respecte pas ses obligations légales ou une disposition essentielle de l’accord de coopération ou des présentes conditions générales, ainsi qu’en cas de défaut de paiement, de faute intentionnelle ou de fraude, SD Worx Staffing Solutions a le droit, sans pouvoir être tenue au paiement de dommages et intérêts et sans intervention judiciaire préalable, de considérer les Contrats en cours comme résiliés et de retirer immédiatement ses intérimaires, sans préjudice des dommages et intérêts auxquels SD Worx Staffing Solutions pourrait avoir droit pour inexécution contractuelle.</w:t>
      </w:r>
    </w:p>
    <w:p w14:paraId="0437C6FB"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23. En cas de débauchage anticipé, les dispositions suivantes s’appliquent. Si l’Utilisateur entre en relation de travail avec l’intérimaire pour la même fonction ou une autre fonction avant le délai convenu, sans intervention de SD Worx Staffing Solutions, l’Utilisateur est redevable à SD Worx Staffing Solutions, à titre d’indemnité pour les dommages subis, de frais de fonctionnement équivalents à 20 % du salaire annuel brut de l’intérimaire concerné.</w:t>
      </w:r>
    </w:p>
    <w:p w14:paraId="13524258" w14:textId="6C3B52BB"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L’indemnité susmentionnée est fixée forfaitairement sur la base de l’accord mutuel entre l’Utilisateur et SD Worx Staffing Solutions, selon lequel le dommage subi par SD Worx Staffing Solutions est notamment basé sur les frais que l’Utilisateur devrait engager pour la prospection, la sélection et le screening d’un travailleur ayant les mêmes qualifications, ainsi que le manque à gagner correspondant.</w:t>
      </w:r>
      <w:r w:rsidR="00000143">
        <w:rPr>
          <w:rFonts w:eastAsia="Times New Roman" w:cs="Arial"/>
          <w:sz w:val="18"/>
          <w:szCs w:val="18"/>
          <w:lang w:val="fr-FR"/>
        </w:rPr>
        <w:t xml:space="preserve"> </w:t>
      </w:r>
      <w:r w:rsidRPr="00225727">
        <w:rPr>
          <w:rFonts w:eastAsia="Times New Roman" w:cs="Arial"/>
          <w:sz w:val="18"/>
          <w:szCs w:val="18"/>
          <w:lang w:val="fr-BE"/>
        </w:rPr>
        <w:t>Cette indemnité est proratisée en fonction des heures déjà facturées.</w:t>
      </w:r>
      <w:r w:rsidR="00000143">
        <w:rPr>
          <w:rFonts w:eastAsia="Times New Roman" w:cs="Arial"/>
          <w:sz w:val="18"/>
          <w:szCs w:val="18"/>
          <w:lang w:val="fr-FR"/>
        </w:rPr>
        <w:t xml:space="preserve"> </w:t>
      </w:r>
      <w:r w:rsidRPr="00225727">
        <w:rPr>
          <w:rFonts w:eastAsia="Times New Roman" w:cs="Arial"/>
          <w:sz w:val="18"/>
          <w:szCs w:val="18"/>
          <w:lang w:val="fr-BE"/>
        </w:rPr>
        <w:t xml:space="preserve">SD Worx Staffing Solutions se réserve le droit d’exiger une indemnité plus élevée si elle peut prouver que le dommage subi dépasse l’indemnité susmentionnée. </w:t>
      </w:r>
    </w:p>
    <w:p w14:paraId="55C7D713"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 xml:space="preserve">L’Utilisateur s’engage à informer au préalable SD Worx Staffing Solutions par écrit de son intention d’entrer en relation de travail avec l’intérimaire. </w:t>
      </w:r>
    </w:p>
    <w:p w14:paraId="6E92DB13"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Par entrée en relation de travail avec l’intérimaire, il est entendu :</w:t>
      </w:r>
    </w:p>
    <w:p w14:paraId="12EB6CAE"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 la conclusion d’un contrat de travail par l’Utilisateur avec l’intérimaire ;</w:t>
      </w:r>
    </w:p>
    <w:p w14:paraId="6CB4FD97"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 la mise à disposition de l’intérimaire à l’Utilisateur par un tiers (notamment une autre agence d’intérim) ;</w:t>
      </w:r>
    </w:p>
    <w:p w14:paraId="76717467"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 la conclusion d’un contrat d’entreprise avec l’intérimaire ou avec un tiers qui a engagé l’intérimaire à cet effet ;</w:t>
      </w:r>
    </w:p>
    <w:p w14:paraId="798B78A5"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 xml:space="preserve">- l’entrée en relation de travail de l’intérimaire et d’un tiers, dans le cadre de laquelle l’Utilisateur et ce tiers appartiennent au même groupe, sont des sociétés mères ou filiales mutuelles ou sont des sociétés liées ou associées. </w:t>
      </w:r>
    </w:p>
    <w:p w14:paraId="76A03B10"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Par intérimaire, il est entendu :</w:t>
      </w:r>
    </w:p>
    <w:p w14:paraId="7C06CF04"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 l’intérimaire sélectionné par SD Worx Staffing Solutions qui a été mis à la disposition de l’Utilisateur dans le cadre d’un contrat de travail intérimaire ;</w:t>
      </w:r>
    </w:p>
    <w:p w14:paraId="2C40D68C"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 le candidat intérimaire qui a été proposé à l’Utilisateur par SD Worx Staffing Solutions. Par salaire annuel brut de l’intérimaire, il est entendu :</w:t>
      </w:r>
    </w:p>
    <w:p w14:paraId="4E7389B5"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 si l’intérimaire a déjà travaillé : le dernier salaire horaire brut en vigueur x le nombre moyen d’heures de travail par semaine en vigueur dans le secteur de l’Utilisateur x 4,33 x 13,92 ;</w:t>
      </w:r>
    </w:p>
    <w:p w14:paraId="4176BE38"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 si le candidat intérimaire n’a pas encore travaillé : le salaire brut en vigueur chez l’Utilisateur pour la fonction concernée (avec au minimum les barèmes de la Commission paritaire de l’Utilisateur) x le nombre moyen d’heures de travail par semaine en vigueur dans le secteur de l’Utilisateur x 4,33 x 13,92.</w:t>
      </w:r>
    </w:p>
    <w:p w14:paraId="036C3F8B"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En cas de débauchage d’un intérimaire employé par SD Worx Staffing Solutions par une autre agence d’intérim dans les 90 jours suivant le dernier jour d’emploi via SD Worx Staffing Solutions, des frais de recrutement de 4.500 € par intérimaire sont facturés à l’Utilisateur. Ce montant sera cumulé avec les frais de fonctionnement.</w:t>
      </w:r>
    </w:p>
    <w:p w14:paraId="6ACE58C3"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 xml:space="preserve">Le présent article n’est pas d’application si l’Utilisateur a lui-même sélectionné des collaborateurs sur une base temporaire et a sous-traité leur administration des salaires à SD Worx Staffing Solutions (= payrolling). L’Utilisateur peut engager ces collaborateurs à titre permanent à tout moment, moyennant le paiement du tarif convenu. </w:t>
      </w:r>
    </w:p>
    <w:p w14:paraId="0930238F"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24.  En cas de rupture unilatérale du contrat par l’Utilisateur, sans débauchage anticipé, les dispositions suivantes s’appliquent.</w:t>
      </w:r>
    </w:p>
    <w:p w14:paraId="6595990F" w14:textId="57DBCCB8" w:rsidR="00DA5E4B" w:rsidRPr="00000143" w:rsidRDefault="00DA5E4B" w:rsidP="00000143">
      <w:pPr>
        <w:spacing w:before="0" w:after="0" w:line="276" w:lineRule="auto"/>
        <w:jc w:val="both"/>
        <w:rPr>
          <w:bCs/>
          <w:sz w:val="18"/>
          <w:szCs w:val="18"/>
          <w:lang w:val="fr-BE" w:eastAsia="nl-NL"/>
        </w:rPr>
      </w:pPr>
      <w:r w:rsidRPr="00225727">
        <w:rPr>
          <w:rFonts w:eastAsia="Times New Roman" w:cs="Arial"/>
          <w:sz w:val="18"/>
          <w:szCs w:val="18"/>
          <w:lang w:val="fr-BE"/>
        </w:rPr>
        <w:t xml:space="preserve">En vertu des articles 1226 et suivants de l’ancien Code civil, l’Utilisateur qui rompt unilatéralement et prématurément le Contrat doit payer à SD Worx Staffing Solutions </w:t>
      </w:r>
      <w:r w:rsidRPr="00225727">
        <w:rPr>
          <w:bCs/>
          <w:sz w:val="18"/>
          <w:szCs w:val="18"/>
          <w:lang w:val="fr-BE" w:eastAsia="nl-NL"/>
        </w:rPr>
        <w:t>une indemnité forfaitaire correspondant à la durée restante du Contrat. L’indemnité forfaitaire est calculée sur la base du montant mensuel moyen de la période déjà facturée,</w:t>
      </w:r>
      <w:r w:rsidRPr="00225727">
        <w:rPr>
          <w:rFonts w:eastAsia="Times New Roman" w:cs="Arial"/>
          <w:sz w:val="18"/>
          <w:szCs w:val="18"/>
          <w:lang w:val="fr-BE"/>
        </w:rPr>
        <w:t xml:space="preserve"> avec un minimum de 150 euros par jour calendrier. Cela s’applique également en cas de nullité du contrat entre l’Utilisateur et SD Worx Staffing Solutions, à la suite du non-respect par l’Utilisateur des obligations légales qui lui sont imposées ou d’informations erronées fournies par l’Utilisateur au moment de la conclusion du contrat concerné.</w:t>
      </w:r>
      <w:r w:rsidR="00000143">
        <w:rPr>
          <w:bCs/>
          <w:sz w:val="18"/>
          <w:szCs w:val="18"/>
          <w:lang w:val="fr-BE" w:eastAsia="nl-NL"/>
        </w:rPr>
        <w:t xml:space="preserve"> </w:t>
      </w:r>
      <w:r w:rsidRPr="00225727">
        <w:rPr>
          <w:rFonts w:eastAsia="Times New Roman" w:cs="Arial"/>
          <w:sz w:val="18"/>
          <w:szCs w:val="18"/>
          <w:lang w:val="fr-BE"/>
        </w:rPr>
        <w:t>SD Worx Staffing Solutions se réserve toutefois le droit d’exiger des dommages et intérêts plus élevés, sous réserve de pouvoir prouver l’ampleur du dommage.</w:t>
      </w:r>
    </w:p>
    <w:p w14:paraId="371DCE35" w14:textId="77777777" w:rsidR="00DA5E4B" w:rsidRPr="00225727" w:rsidRDefault="00DA5E4B" w:rsidP="00000143">
      <w:pPr>
        <w:spacing w:before="0" w:after="0" w:line="276" w:lineRule="auto"/>
        <w:jc w:val="both"/>
        <w:rPr>
          <w:rFonts w:cs="Arial"/>
          <w:sz w:val="18"/>
          <w:szCs w:val="18"/>
          <w:lang w:val="fr-FR"/>
        </w:rPr>
      </w:pPr>
      <w:r w:rsidRPr="00225727">
        <w:rPr>
          <w:rFonts w:cs="Arial"/>
          <w:sz w:val="18"/>
          <w:szCs w:val="18"/>
          <w:lang w:val="fr-BE"/>
        </w:rPr>
        <w:t>25. SD Worx Staffing Solutions a le droit d’utiliser le nom et le logo de l’Utilisateur comme référence pour sa prestation de services.</w:t>
      </w:r>
    </w:p>
    <w:p w14:paraId="0D7CA777"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26. Les présentes conditions générales ne peuvent contenir aucune rature et prévalent sur toutes les autres, y compris les conditions générales de l’Utilisateur, auxquelles l’Utilisateur renonce en signant l’accord de coopération avec SD Worx Staffing Solutions. Une dérogation aux présentes conditions générales n’est possible que moyennant Contrat écrit (par ex., dans l’accord de coopération).</w:t>
      </w:r>
    </w:p>
    <w:p w14:paraId="02313C67" w14:textId="77777777" w:rsidR="00DA5E4B" w:rsidRPr="00225727" w:rsidRDefault="00DA5E4B" w:rsidP="00000143">
      <w:pPr>
        <w:spacing w:before="0" w:after="0" w:line="276" w:lineRule="auto"/>
        <w:jc w:val="both"/>
        <w:rPr>
          <w:rFonts w:eastAsia="Times New Roman" w:cs="Arial"/>
          <w:sz w:val="18"/>
          <w:szCs w:val="18"/>
          <w:lang w:val="fr-FR"/>
        </w:rPr>
      </w:pPr>
      <w:r w:rsidRPr="00225727">
        <w:rPr>
          <w:rFonts w:eastAsia="Times New Roman" w:cs="Arial"/>
          <w:sz w:val="18"/>
          <w:szCs w:val="18"/>
          <w:lang w:val="fr-BE"/>
        </w:rPr>
        <w:t>27.  Le droit belge est d’application aux présentes conditions générales, à l’exclusion des dispositions de droit privé international. En cas de contestation et/ou de défaut de paiement, les tribunaux de l’arrondissement du siège social de SD Worx Staffing Solutions SA sont seuls compétents.</w:t>
      </w:r>
    </w:p>
    <w:p w14:paraId="5843AD19" w14:textId="0EBF8CFE" w:rsidR="00446DBA" w:rsidRPr="005979BB" w:rsidRDefault="00446DBA" w:rsidP="005979BB">
      <w:pPr>
        <w:spacing w:before="0" w:after="0" w:line="276" w:lineRule="auto"/>
        <w:jc w:val="both"/>
        <w:rPr>
          <w:sz w:val="18"/>
          <w:szCs w:val="18"/>
          <w:lang w:val="fr-FR"/>
        </w:rPr>
      </w:pPr>
    </w:p>
    <w:sectPr w:rsidR="00446DBA" w:rsidRPr="005979BB" w:rsidSect="00EB35F7">
      <w:headerReference w:type="even" r:id="rId11"/>
      <w:headerReference w:type="default" r:id="rId12"/>
      <w:footerReference w:type="even" r:id="rId13"/>
      <w:footerReference w:type="default" r:id="rId14"/>
      <w:headerReference w:type="first" r:id="rId15"/>
      <w:footerReference w:type="first" r:id="rId16"/>
      <w:pgSz w:w="11901" w:h="16817"/>
      <w:pgMar w:top="737" w:right="737" w:bottom="737" w:left="737" w:header="51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46AD3" w14:textId="77777777" w:rsidR="00441404" w:rsidRDefault="00441404" w:rsidP="00BC58B1">
      <w:r>
        <w:separator/>
      </w:r>
    </w:p>
    <w:p w14:paraId="5022F4CC" w14:textId="77777777" w:rsidR="00441404" w:rsidRDefault="00441404"/>
  </w:endnote>
  <w:endnote w:type="continuationSeparator" w:id="0">
    <w:p w14:paraId="330C9C54" w14:textId="77777777" w:rsidR="00441404" w:rsidRDefault="00441404" w:rsidP="00BC58B1">
      <w:r>
        <w:continuationSeparator/>
      </w:r>
    </w:p>
    <w:p w14:paraId="05D609ED" w14:textId="77777777" w:rsidR="00441404" w:rsidRDefault="00441404"/>
  </w:endnote>
  <w:endnote w:type="continuationNotice" w:id="1">
    <w:p w14:paraId="751B3E38" w14:textId="77777777" w:rsidR="00441404" w:rsidRDefault="0044140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yriad Pro">
    <w:altName w:val="Times New Roman"/>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F5BDE" w14:textId="77777777" w:rsidR="007F0D7F" w:rsidRDefault="007F0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ED54" w14:textId="77777777" w:rsidR="004106E8" w:rsidRPr="00556FC2" w:rsidRDefault="004106E8" w:rsidP="00B50425">
    <w:pPr>
      <w:framePr w:wrap="around" w:vAnchor="text" w:hAnchor="page" w:x="10305" w:y="240"/>
      <w:jc w:val="right"/>
      <w:rPr>
        <w:rStyle w:val="PageNumber"/>
        <w:color w:val="F3F4F3" w:themeColor="background1" w:themeTint="33"/>
      </w:rPr>
    </w:pPr>
    <w:r w:rsidRPr="00556FC2">
      <w:rPr>
        <w:rStyle w:val="PageNumber"/>
        <w:color w:val="F3F4F3" w:themeColor="background1" w:themeTint="33"/>
      </w:rPr>
      <w:fldChar w:fldCharType="begin"/>
    </w:r>
    <w:r w:rsidRPr="00556FC2">
      <w:rPr>
        <w:rStyle w:val="PageNumber"/>
        <w:color w:val="F3F4F3" w:themeColor="background1" w:themeTint="33"/>
      </w:rPr>
      <w:instrText xml:space="preserve">PAGE  </w:instrText>
    </w:r>
    <w:r w:rsidRPr="00556FC2">
      <w:rPr>
        <w:rStyle w:val="PageNumber"/>
        <w:color w:val="F3F4F3" w:themeColor="background1" w:themeTint="33"/>
      </w:rPr>
      <w:fldChar w:fldCharType="separate"/>
    </w:r>
    <w:r>
      <w:rPr>
        <w:rStyle w:val="PageNumber"/>
        <w:noProof/>
        <w:color w:val="F3F4F3" w:themeColor="background1" w:themeTint="33"/>
      </w:rPr>
      <w:t>4</w:t>
    </w:r>
    <w:r w:rsidRPr="00556FC2">
      <w:rPr>
        <w:rStyle w:val="PageNumber"/>
        <w:color w:val="F3F4F3" w:themeColor="background1" w:themeTint="33"/>
      </w:rPr>
      <w:fldChar w:fldCharType="end"/>
    </w:r>
  </w:p>
  <w:p w14:paraId="4DC6EBD0" w14:textId="1BC4272B" w:rsidR="004346E0" w:rsidRDefault="007F0D7F" w:rsidP="004346E0">
    <w:pPr>
      <w:spacing w:after="240" w:line="360" w:lineRule="auto"/>
      <w:ind w:left="993" w:firstLine="720"/>
      <w:contextualSpacing/>
      <w:rPr>
        <w:color w:val="75787B"/>
        <w:spacing w:val="-3"/>
        <w:sz w:val="14"/>
        <w:szCs w:val="12"/>
        <w:lang w:val="nl-BE"/>
      </w:rPr>
    </w:pPr>
    <w:r>
      <w:rPr>
        <w:noProof/>
        <w:color w:val="75787B"/>
        <w:spacing w:val="-3"/>
        <w:sz w:val="14"/>
        <w:szCs w:val="12"/>
      </w:rPr>
      <w:drawing>
        <wp:anchor distT="0" distB="0" distL="114300" distR="114300" simplePos="0" relativeHeight="251658240" behindDoc="0" locked="0" layoutInCell="1" allowOverlap="1" wp14:anchorId="66B91308" wp14:editId="316F5213">
          <wp:simplePos x="0" y="0"/>
          <wp:positionH relativeFrom="column">
            <wp:posOffset>5399405</wp:posOffset>
          </wp:positionH>
          <wp:positionV relativeFrom="paragraph">
            <wp:posOffset>64770</wp:posOffset>
          </wp:positionV>
          <wp:extent cx="1330712" cy="748800"/>
          <wp:effectExtent l="0" t="0" r="0" b="0"/>
          <wp:wrapSquare wrapText="bothSides"/>
          <wp:docPr id="1948275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275611" name="Picture 1"/>
                  <pic:cNvPicPr/>
                </pic:nvPicPr>
                <pic:blipFill>
                  <a:blip r:embed="rId1"/>
                  <a:stretch>
                    <a:fillRect/>
                  </a:stretch>
                </pic:blipFill>
                <pic:spPr>
                  <a:xfrm>
                    <a:off x="0" y="0"/>
                    <a:ext cx="1330712" cy="748800"/>
                  </a:xfrm>
                  <a:prstGeom prst="rect">
                    <a:avLst/>
                  </a:prstGeom>
                </pic:spPr>
              </pic:pic>
            </a:graphicData>
          </a:graphic>
          <wp14:sizeRelH relativeFrom="margin">
            <wp14:pctWidth>0</wp14:pctWidth>
          </wp14:sizeRelH>
          <wp14:sizeRelV relativeFrom="margin">
            <wp14:pctHeight>0</wp14:pctHeight>
          </wp14:sizeRelV>
        </wp:anchor>
      </w:drawing>
    </w:r>
  </w:p>
  <w:p w14:paraId="119BC03E" w14:textId="17B1D1A3" w:rsidR="00EF36AD" w:rsidRPr="00E94FE9" w:rsidRDefault="00480EE4" w:rsidP="0001049B">
    <w:pPr>
      <w:spacing w:after="240" w:line="360" w:lineRule="auto"/>
      <w:contextualSpacing/>
      <w:jc w:val="both"/>
      <w:rPr>
        <w:color w:val="75787B"/>
        <w:spacing w:val="-3"/>
        <w:sz w:val="14"/>
        <w:szCs w:val="12"/>
        <w:lang w:val="nl-BE"/>
      </w:rPr>
    </w:pPr>
    <w:r w:rsidRPr="00E94FE9">
      <w:rPr>
        <w:color w:val="75787B"/>
        <w:spacing w:val="-3"/>
        <w:sz w:val="14"/>
        <w:szCs w:val="12"/>
      </w:rPr>
      <w:t xml:space="preserve">SD Worx Staffing Solutions Brouwersvliet 2, 2000 </w:t>
    </w:r>
    <w:proofErr w:type="spellStart"/>
    <w:r w:rsidRPr="00E94FE9">
      <w:rPr>
        <w:color w:val="75787B"/>
        <w:spacing w:val="-3"/>
        <w:sz w:val="14"/>
        <w:szCs w:val="12"/>
      </w:rPr>
      <w:t>Anvers</w:t>
    </w:r>
    <w:proofErr w:type="spellEnd"/>
    <w:r w:rsidRPr="00E94FE9">
      <w:rPr>
        <w:color w:val="75787B"/>
        <w:spacing w:val="-3"/>
        <w:sz w:val="14"/>
        <w:szCs w:val="12"/>
      </w:rPr>
      <w:t xml:space="preserve"> – 0807.281.213 - NSSO (097) 183 804 232</w:t>
    </w:r>
  </w:p>
  <w:p w14:paraId="5285FE54" w14:textId="1A99C661" w:rsidR="00806C2C" w:rsidRDefault="007C6552" w:rsidP="0001049B">
    <w:pPr>
      <w:spacing w:after="240" w:line="360" w:lineRule="auto"/>
      <w:contextualSpacing/>
      <w:jc w:val="both"/>
      <w:rPr>
        <w:color w:val="75787B"/>
        <w:spacing w:val="-3"/>
        <w:sz w:val="14"/>
        <w:szCs w:val="12"/>
      </w:rPr>
    </w:pPr>
    <w:r>
      <w:rPr>
        <w:color w:val="75787B"/>
        <w:spacing w:val="-3"/>
        <w:sz w:val="14"/>
        <w:szCs w:val="12"/>
      </w:rPr>
      <w:t xml:space="preserve">N° </w:t>
    </w:r>
    <w:proofErr w:type="spellStart"/>
    <w:r>
      <w:rPr>
        <w:color w:val="75787B"/>
        <w:spacing w:val="-3"/>
        <w:sz w:val="14"/>
        <w:szCs w:val="12"/>
      </w:rPr>
      <w:t>d’agrément</w:t>
    </w:r>
    <w:proofErr w:type="spellEnd"/>
    <w:r w:rsidR="00F85535" w:rsidRPr="00E94FE9">
      <w:rPr>
        <w:color w:val="75787B"/>
        <w:spacing w:val="-3"/>
        <w:sz w:val="14"/>
        <w:szCs w:val="12"/>
      </w:rPr>
      <w:t xml:space="preserve"> VG 1570/BU – 00396-405-20130225, 00396-406-20130228, </w:t>
    </w:r>
  </w:p>
  <w:p w14:paraId="68C4A7C0" w14:textId="46D41DBF" w:rsidR="004346E0" w:rsidRDefault="00F85535" w:rsidP="0001049B">
    <w:pPr>
      <w:spacing w:after="240" w:line="360" w:lineRule="auto"/>
      <w:contextualSpacing/>
      <w:jc w:val="both"/>
      <w:rPr>
        <w:color w:val="75787B"/>
        <w:spacing w:val="-3"/>
        <w:sz w:val="14"/>
        <w:szCs w:val="12"/>
      </w:rPr>
    </w:pPr>
    <w:r w:rsidRPr="00E94FE9">
      <w:rPr>
        <w:color w:val="75787B"/>
        <w:spacing w:val="-3"/>
        <w:sz w:val="14"/>
        <w:szCs w:val="12"/>
      </w:rPr>
      <w:t>20018-405-20190409/W.DISP.682, W.RE.682, W.RS.682, W.SO.682/DG-LAV 024</w:t>
    </w:r>
  </w:p>
  <w:p w14:paraId="0BFDAFCA" w14:textId="2691EA3E" w:rsidR="00F85535" w:rsidRPr="00465217" w:rsidRDefault="00C32053" w:rsidP="0001049B">
    <w:pPr>
      <w:spacing w:after="240" w:line="360" w:lineRule="auto"/>
      <w:contextualSpacing/>
      <w:jc w:val="both"/>
      <w:rPr>
        <w:color w:val="75787B"/>
        <w:spacing w:val="-3"/>
        <w:sz w:val="14"/>
        <w:szCs w:val="12"/>
        <w:lang w:val="fr-BE"/>
      </w:rPr>
    </w:pPr>
    <w:r w:rsidRPr="00465217">
      <w:rPr>
        <w:color w:val="75787B"/>
        <w:spacing w:val="-3"/>
        <w:sz w:val="14"/>
        <w:szCs w:val="12"/>
        <w:lang w:val="fr-BE"/>
      </w:rPr>
      <w:t>Membre de Federgon (fédération professionnelle du travail intérimaire) - Service de médecine du travail interprofessionnel Attentia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7202" w14:textId="77777777" w:rsidR="007F0D7F" w:rsidRDefault="007F0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3A55E" w14:textId="77777777" w:rsidR="00441404" w:rsidRPr="00AC3C69" w:rsidRDefault="00441404" w:rsidP="00BC58B1">
      <w:pPr>
        <w:rPr>
          <w:color w:val="7C2855"/>
        </w:rPr>
      </w:pPr>
      <w:r w:rsidRPr="00AC3C69">
        <w:rPr>
          <w:color w:val="7C2855"/>
        </w:rPr>
        <w:t>——————————</w:t>
      </w:r>
    </w:p>
  </w:footnote>
  <w:footnote w:type="continuationSeparator" w:id="0">
    <w:p w14:paraId="75213A9E" w14:textId="77777777" w:rsidR="00441404" w:rsidRDefault="00441404" w:rsidP="00BC58B1">
      <w:r>
        <w:continuationSeparator/>
      </w:r>
    </w:p>
    <w:p w14:paraId="16D2B6E9" w14:textId="77777777" w:rsidR="00441404" w:rsidRDefault="00441404"/>
  </w:footnote>
  <w:footnote w:type="continuationNotice" w:id="1">
    <w:p w14:paraId="56C29357" w14:textId="77777777" w:rsidR="00441404" w:rsidRDefault="0044140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92312" w14:textId="77777777" w:rsidR="007F0D7F" w:rsidRDefault="007F0D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ED53" w14:textId="46F83C92" w:rsidR="004106E8" w:rsidRDefault="004106E8" w:rsidP="004959F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34E2" w14:textId="77777777" w:rsidR="007F0D7F" w:rsidRDefault="007F0D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ADC85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85923"/>
    <w:multiLevelType w:val="hybridMultilevel"/>
    <w:tmpl w:val="0928B0AC"/>
    <w:name w:val="SDWorkx Bijlagen2"/>
    <w:lvl w:ilvl="0" w:tplc="A66ACDBA">
      <w:start w:val="1"/>
      <w:numFmt w:val="decimal"/>
      <w:lvlText w:val="Article %1"/>
      <w:lvlJc w:val="left"/>
      <w:pPr>
        <w:ind w:left="720" w:hanging="360"/>
      </w:pPr>
      <w:rPr>
        <w:rFonts w:hint="default"/>
      </w:rPr>
    </w:lvl>
    <w:lvl w:ilvl="1" w:tplc="A080D09C">
      <w:numFmt w:val="bullet"/>
      <w:lvlText w:val="-"/>
      <w:lvlJc w:val="left"/>
      <w:pPr>
        <w:ind w:left="1440" w:hanging="360"/>
      </w:pPr>
      <w:rPr>
        <w:rFonts w:ascii="Arial" w:eastAsia="Calibri" w:hAnsi="Arial" w:cs="Arial"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7926B9D"/>
    <w:multiLevelType w:val="hybridMultilevel"/>
    <w:tmpl w:val="A18CFF92"/>
    <w:lvl w:ilvl="0" w:tplc="38BCF54E">
      <w:numFmt w:val="bullet"/>
      <w:pStyle w:val="Nummeringbullet"/>
      <w:lvlText w:val="•"/>
      <w:lvlJc w:val="left"/>
      <w:pPr>
        <w:ind w:left="1068" w:hanging="708"/>
      </w:pPr>
      <w:rPr>
        <w:rFonts w:ascii="Arial" w:eastAsia="Calibr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A18465C"/>
    <w:multiLevelType w:val="multilevel"/>
    <w:tmpl w:val="3C002F84"/>
    <w:styleLink w:val="List-indentSDWorx"/>
    <w:lvl w:ilvl="0">
      <w:start w:val="1"/>
      <w:numFmt w:val="bullet"/>
      <w:lvlText w:val="-"/>
      <w:lvlJc w:val="left"/>
      <w:pPr>
        <w:ind w:left="170" w:hanging="170"/>
      </w:pPr>
      <w:rPr>
        <w:rFonts w:ascii="Arial" w:hAnsi="Arial" w:hint="default"/>
        <w:b w:val="0"/>
        <w:i w:val="0"/>
        <w:color w:val="404040"/>
        <w:sz w:val="20"/>
        <w:u w:val="none"/>
      </w:rPr>
    </w:lvl>
    <w:lvl w:ilvl="1">
      <w:start w:val="1"/>
      <w:numFmt w:val="bullet"/>
      <w:lvlText w:val="-"/>
      <w:lvlJc w:val="left"/>
      <w:pPr>
        <w:ind w:left="1080" w:hanging="360"/>
      </w:pPr>
      <w:rPr>
        <w:rFonts w:ascii="Arial" w:hAnsi="Arial" w:hint="default"/>
        <w:color w:val="404040"/>
        <w:sz w:val="20"/>
      </w:rPr>
    </w:lvl>
    <w:lvl w:ilvl="2">
      <w:start w:val="1"/>
      <w:numFmt w:val="bullet"/>
      <w:lvlText w:val="-"/>
      <w:lvlJc w:val="left"/>
      <w:pPr>
        <w:ind w:left="1800" w:hanging="360"/>
      </w:pPr>
      <w:rPr>
        <w:rFonts w:ascii="Arial" w:hAnsi="Arial" w:hint="default"/>
        <w:b w:val="0"/>
        <w:bCs w:val="0"/>
        <w:i w:val="0"/>
        <w:iCs w:val="0"/>
        <w:color w:val="404040"/>
        <w:sz w:val="20"/>
      </w:rPr>
    </w:lvl>
    <w:lvl w:ilvl="3">
      <w:start w:val="1"/>
      <w:numFmt w:val="bullet"/>
      <w:lvlText w:val="-"/>
      <w:lvlJc w:val="left"/>
      <w:pPr>
        <w:ind w:left="2520" w:hanging="360"/>
      </w:pPr>
      <w:rPr>
        <w:rFonts w:ascii="Arial" w:hAnsi="Arial" w:hint="default"/>
        <w:color w:val="404040"/>
        <w:sz w:val="20"/>
      </w:rPr>
    </w:lvl>
    <w:lvl w:ilvl="4">
      <w:start w:val="1"/>
      <w:numFmt w:val="bullet"/>
      <w:lvlText w:val="-"/>
      <w:lvlJc w:val="left"/>
      <w:pPr>
        <w:ind w:left="3240" w:hanging="360"/>
      </w:pPr>
      <w:rPr>
        <w:rFonts w:ascii="Arial" w:hAnsi="Arial" w:hint="default"/>
        <w:b w:val="0"/>
        <w:bCs w:val="0"/>
        <w:i w:val="0"/>
        <w:iCs w:val="0"/>
        <w:color w:val="404040"/>
        <w:sz w:val="20"/>
      </w:rPr>
    </w:lvl>
    <w:lvl w:ilvl="5">
      <w:start w:val="1"/>
      <w:numFmt w:val="bullet"/>
      <w:lvlText w:val="-"/>
      <w:lvlJc w:val="left"/>
      <w:pPr>
        <w:ind w:left="3960" w:hanging="360"/>
      </w:pPr>
      <w:rPr>
        <w:rFonts w:ascii="Arial" w:hAnsi="Arial" w:hint="default"/>
        <w:color w:val="404040"/>
        <w:sz w:val="20"/>
      </w:rPr>
    </w:lvl>
    <w:lvl w:ilvl="6">
      <w:start w:val="1"/>
      <w:numFmt w:val="bullet"/>
      <w:lvlText w:val="-"/>
      <w:lvlJc w:val="left"/>
      <w:pPr>
        <w:ind w:left="4680" w:hanging="360"/>
      </w:pPr>
      <w:rPr>
        <w:rFonts w:ascii="Arial" w:hAnsi="Arial" w:hint="default"/>
        <w:b w:val="0"/>
        <w:bCs w:val="0"/>
        <w:i w:val="0"/>
        <w:iCs w:val="0"/>
        <w:color w:val="404040"/>
        <w:sz w:val="20"/>
      </w:rPr>
    </w:lvl>
    <w:lvl w:ilvl="7">
      <w:start w:val="1"/>
      <w:numFmt w:val="bullet"/>
      <w:lvlText w:val="-"/>
      <w:lvlJc w:val="left"/>
      <w:pPr>
        <w:ind w:left="5400" w:hanging="360"/>
      </w:pPr>
      <w:rPr>
        <w:rFonts w:ascii="Arial" w:hAnsi="Arial" w:hint="default"/>
        <w:b w:val="0"/>
        <w:bCs w:val="0"/>
        <w:i w:val="0"/>
        <w:iCs w:val="0"/>
        <w:color w:val="404040"/>
        <w:sz w:val="20"/>
      </w:rPr>
    </w:lvl>
    <w:lvl w:ilvl="8">
      <w:start w:val="1"/>
      <w:numFmt w:val="bullet"/>
      <w:lvlText w:val="-"/>
      <w:lvlJc w:val="left"/>
      <w:pPr>
        <w:ind w:left="6120" w:hanging="360"/>
      </w:pPr>
      <w:rPr>
        <w:rFonts w:ascii="Arial" w:hAnsi="Arial" w:hint="default"/>
        <w:b w:val="0"/>
        <w:bCs w:val="0"/>
        <w:i w:val="0"/>
        <w:iCs w:val="0"/>
        <w:color w:val="404040"/>
        <w:sz w:val="20"/>
      </w:rPr>
    </w:lvl>
  </w:abstractNum>
  <w:abstractNum w:abstractNumId="4" w15:restartNumberingAfterBreak="0">
    <w:nsid w:val="1CF51EA4"/>
    <w:multiLevelType w:val="multilevel"/>
    <w:tmpl w:val="D9F41068"/>
    <w:styleLink w:val="SDWorxKoppen"/>
    <w:lvl w:ilvl="0">
      <w:start w:val="1"/>
      <w:numFmt w:val="decimal"/>
      <w:lvlText w:val="Artikel %1"/>
      <w:lvlJc w:val="left"/>
      <w:pPr>
        <w:ind w:left="360" w:hanging="360"/>
      </w:pPr>
      <w:rPr>
        <w:rFonts w:ascii="Arial" w:hAnsi="Arial" w:hint="default"/>
        <w:b/>
        <w:bCs w:val="0"/>
        <w:i w:val="0"/>
        <w:iCs w:val="0"/>
        <w:caps/>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b w:val="0"/>
        <w:i w:val="0"/>
        <w:iCs w:val="0"/>
        <w:caps w:val="0"/>
        <w:smallCaps w:val="0"/>
        <w:strike w:val="0"/>
        <w:dstrike w:val="0"/>
        <w:noProof w:val="0"/>
        <w:vanish w:val="0"/>
        <w:color w:val="000000"/>
        <w:kern w:val="0"/>
        <w:position w:val="0"/>
        <w:u w:val="none"/>
        <w:effect w:val="none"/>
        <w:vertAlign w:val="baseline"/>
        <w:em w:val="none"/>
        <w:specVanish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A164BF6"/>
    <w:multiLevelType w:val="hybridMultilevel"/>
    <w:tmpl w:val="5720DECA"/>
    <w:lvl w:ilvl="0" w:tplc="FFFFFFFF">
      <w:start w:val="1"/>
      <w:numFmt w:val="bullet"/>
      <w:lvlText w:val=""/>
      <w:lvlJc w:val="left"/>
      <w:pPr>
        <w:ind w:left="780" w:hanging="360"/>
      </w:pPr>
      <w:rPr>
        <w:rFonts w:ascii="Wingdings" w:hAnsi="Wingdings" w:hint="default"/>
      </w:rPr>
    </w:lvl>
    <w:lvl w:ilvl="1" w:tplc="08130003" w:tentative="1">
      <w:start w:val="1"/>
      <w:numFmt w:val="bullet"/>
      <w:lvlText w:val="o"/>
      <w:lvlJc w:val="left"/>
      <w:pPr>
        <w:ind w:left="1500" w:hanging="360"/>
      </w:pPr>
      <w:rPr>
        <w:rFonts w:ascii="Courier New" w:hAnsi="Courier New" w:cs="Courier New" w:hint="default"/>
      </w:rPr>
    </w:lvl>
    <w:lvl w:ilvl="2" w:tplc="08130005" w:tentative="1">
      <w:start w:val="1"/>
      <w:numFmt w:val="bullet"/>
      <w:lvlText w:val=""/>
      <w:lvlJc w:val="left"/>
      <w:pPr>
        <w:ind w:left="2220" w:hanging="360"/>
      </w:pPr>
      <w:rPr>
        <w:rFonts w:ascii="Wingdings" w:hAnsi="Wingdings" w:hint="default"/>
      </w:rPr>
    </w:lvl>
    <w:lvl w:ilvl="3" w:tplc="08130001" w:tentative="1">
      <w:start w:val="1"/>
      <w:numFmt w:val="bullet"/>
      <w:lvlText w:val=""/>
      <w:lvlJc w:val="left"/>
      <w:pPr>
        <w:ind w:left="2940" w:hanging="360"/>
      </w:pPr>
      <w:rPr>
        <w:rFonts w:ascii="Symbol" w:hAnsi="Symbol" w:hint="default"/>
      </w:rPr>
    </w:lvl>
    <w:lvl w:ilvl="4" w:tplc="08130003" w:tentative="1">
      <w:start w:val="1"/>
      <w:numFmt w:val="bullet"/>
      <w:lvlText w:val="o"/>
      <w:lvlJc w:val="left"/>
      <w:pPr>
        <w:ind w:left="3660" w:hanging="360"/>
      </w:pPr>
      <w:rPr>
        <w:rFonts w:ascii="Courier New" w:hAnsi="Courier New" w:cs="Courier New" w:hint="default"/>
      </w:rPr>
    </w:lvl>
    <w:lvl w:ilvl="5" w:tplc="08130005" w:tentative="1">
      <w:start w:val="1"/>
      <w:numFmt w:val="bullet"/>
      <w:lvlText w:val=""/>
      <w:lvlJc w:val="left"/>
      <w:pPr>
        <w:ind w:left="4380" w:hanging="360"/>
      </w:pPr>
      <w:rPr>
        <w:rFonts w:ascii="Wingdings" w:hAnsi="Wingdings" w:hint="default"/>
      </w:rPr>
    </w:lvl>
    <w:lvl w:ilvl="6" w:tplc="08130001" w:tentative="1">
      <w:start w:val="1"/>
      <w:numFmt w:val="bullet"/>
      <w:lvlText w:val=""/>
      <w:lvlJc w:val="left"/>
      <w:pPr>
        <w:ind w:left="5100" w:hanging="360"/>
      </w:pPr>
      <w:rPr>
        <w:rFonts w:ascii="Symbol" w:hAnsi="Symbol" w:hint="default"/>
      </w:rPr>
    </w:lvl>
    <w:lvl w:ilvl="7" w:tplc="08130003" w:tentative="1">
      <w:start w:val="1"/>
      <w:numFmt w:val="bullet"/>
      <w:lvlText w:val="o"/>
      <w:lvlJc w:val="left"/>
      <w:pPr>
        <w:ind w:left="5820" w:hanging="360"/>
      </w:pPr>
      <w:rPr>
        <w:rFonts w:ascii="Courier New" w:hAnsi="Courier New" w:cs="Courier New" w:hint="default"/>
      </w:rPr>
    </w:lvl>
    <w:lvl w:ilvl="8" w:tplc="08130005" w:tentative="1">
      <w:start w:val="1"/>
      <w:numFmt w:val="bullet"/>
      <w:lvlText w:val=""/>
      <w:lvlJc w:val="left"/>
      <w:pPr>
        <w:ind w:left="6540" w:hanging="360"/>
      </w:pPr>
      <w:rPr>
        <w:rFonts w:ascii="Wingdings" w:hAnsi="Wingdings" w:hint="default"/>
      </w:rPr>
    </w:lvl>
  </w:abstractNum>
  <w:abstractNum w:abstractNumId="6" w15:restartNumberingAfterBreak="0">
    <w:nsid w:val="38013596"/>
    <w:multiLevelType w:val="multilevel"/>
    <w:tmpl w:val="BF22FF0C"/>
    <w:lvl w:ilvl="0">
      <w:start w:val="1"/>
      <w:numFmt w:val="decimal"/>
      <w:lvlText w:val="BIJLAGE %1"/>
      <w:lvlJc w:val="left"/>
      <w:pPr>
        <w:ind w:left="360" w:hanging="360"/>
      </w:pPr>
      <w:rPr>
        <w:rFonts w:hint="default"/>
        <w:b/>
        <w:bCs w:val="0"/>
        <w:i w:val="0"/>
        <w:iCs w:val="0"/>
        <w:caps/>
        <w:smallCaps w:val="0"/>
        <w:strike w:val="0"/>
        <w:dstrike w:val="0"/>
        <w:vanish w:val="0"/>
        <w:color w:val="000000"/>
        <w:spacing w:val="0"/>
        <w:kern w:val="0"/>
        <w:position w:val="0"/>
        <w:u w:val="none"/>
        <w:effect w:val="none"/>
        <w:vertAlign w:val="baseline"/>
        <w:em w:val="none"/>
      </w:rPr>
    </w:lvl>
    <w:lvl w:ilvl="1">
      <w:start w:val="1"/>
      <w:numFmt w:val="decimal"/>
      <w:lvlText w:val="Article %2"/>
      <w:lvlJc w:val="left"/>
      <w:pPr>
        <w:ind w:left="851" w:hanging="851"/>
      </w:pPr>
      <w:rPr>
        <w:rFonts w:hint="default"/>
      </w:rPr>
    </w:lvl>
    <w:lvl w:ilvl="2">
      <w:start w:val="1"/>
      <w:numFmt w:val="decimal"/>
      <w:pStyle w:val="BijlageKop2"/>
      <w:lvlText w:val="%2.%3"/>
      <w:lvlJc w:val="left"/>
      <w:pPr>
        <w:ind w:left="851" w:hanging="851"/>
      </w:pPr>
      <w:rPr>
        <w:rFonts w:hint="default"/>
      </w:rPr>
    </w:lvl>
    <w:lvl w:ilvl="3">
      <w:start w:val="1"/>
      <w:numFmt w:val="decimal"/>
      <w:pStyle w:val="BijlageKop3"/>
      <w:lvlText w:val="%2.%3.%4"/>
      <w:lvlJc w:val="left"/>
      <w:pPr>
        <w:ind w:left="851" w:hanging="851"/>
      </w:pPr>
      <w:rPr>
        <w:rFonts w:hint="default"/>
      </w:rPr>
    </w:lvl>
    <w:lvl w:ilvl="4">
      <w:start w:val="1"/>
      <w:numFmt w:val="decimal"/>
      <w:pStyle w:val="BijlageKop4"/>
      <w:lvlText w:val="%2.%3.%4.%5"/>
      <w:lvlJc w:val="left"/>
      <w:pPr>
        <w:ind w:left="851" w:hanging="851"/>
      </w:pPr>
      <w:rPr>
        <w:rFonts w:hint="default"/>
        <w:b w:val="0"/>
        <w:i w:val="0"/>
        <w:iCs w:val="0"/>
        <w:caps w:val="0"/>
        <w:smallCaps w:val="0"/>
        <w:strike w:val="0"/>
        <w:dstrike w:val="0"/>
        <w:vanish w:val="0"/>
        <w:color w:val="000000"/>
        <w:kern w:val="0"/>
        <w:position w:val="0"/>
        <w:u w:val="none"/>
        <w:effect w:val="none"/>
        <w:vertAlign w:val="baseline"/>
        <w:em w:val="none"/>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7" w15:restartNumberingAfterBreak="0">
    <w:nsid w:val="3CAF3F4C"/>
    <w:multiLevelType w:val="hybridMultilevel"/>
    <w:tmpl w:val="1CCC476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2BE420B"/>
    <w:multiLevelType w:val="hybridMultilevel"/>
    <w:tmpl w:val="A9C6983C"/>
    <w:lvl w:ilvl="0" w:tplc="FFFFFFFF">
      <w:start w:val="1"/>
      <w:numFmt w:val="bullet"/>
      <w:lvlText w:val=""/>
      <w:lvlJc w:val="left"/>
      <w:pPr>
        <w:tabs>
          <w:tab w:val="num" w:pos="3624"/>
        </w:tabs>
        <w:ind w:left="3624" w:hanging="360"/>
      </w:pPr>
      <w:rPr>
        <w:rFonts w:ascii="Wingdings" w:hAnsi="Wingdings" w:hint="default"/>
      </w:rPr>
    </w:lvl>
    <w:lvl w:ilvl="1" w:tplc="FFFFFFFF" w:tentative="1">
      <w:start w:val="1"/>
      <w:numFmt w:val="bullet"/>
      <w:lvlText w:val="o"/>
      <w:lvlJc w:val="left"/>
      <w:pPr>
        <w:tabs>
          <w:tab w:val="num" w:pos="4344"/>
        </w:tabs>
        <w:ind w:left="4344" w:hanging="360"/>
      </w:pPr>
      <w:rPr>
        <w:rFonts w:ascii="Courier New" w:hAnsi="Courier New" w:hint="default"/>
      </w:rPr>
    </w:lvl>
    <w:lvl w:ilvl="2" w:tplc="FFFFFFFF" w:tentative="1">
      <w:start w:val="1"/>
      <w:numFmt w:val="bullet"/>
      <w:lvlText w:val=""/>
      <w:lvlJc w:val="left"/>
      <w:pPr>
        <w:tabs>
          <w:tab w:val="num" w:pos="5064"/>
        </w:tabs>
        <w:ind w:left="5064" w:hanging="360"/>
      </w:pPr>
      <w:rPr>
        <w:rFonts w:ascii="Wingdings" w:hAnsi="Wingdings" w:hint="default"/>
      </w:rPr>
    </w:lvl>
    <w:lvl w:ilvl="3" w:tplc="FFFFFFFF" w:tentative="1">
      <w:start w:val="1"/>
      <w:numFmt w:val="bullet"/>
      <w:lvlText w:val=""/>
      <w:lvlJc w:val="left"/>
      <w:pPr>
        <w:tabs>
          <w:tab w:val="num" w:pos="5784"/>
        </w:tabs>
        <w:ind w:left="5784" w:hanging="360"/>
      </w:pPr>
      <w:rPr>
        <w:rFonts w:ascii="Symbol" w:hAnsi="Symbol" w:hint="default"/>
      </w:rPr>
    </w:lvl>
    <w:lvl w:ilvl="4" w:tplc="FFFFFFFF" w:tentative="1">
      <w:start w:val="1"/>
      <w:numFmt w:val="bullet"/>
      <w:lvlText w:val="o"/>
      <w:lvlJc w:val="left"/>
      <w:pPr>
        <w:tabs>
          <w:tab w:val="num" w:pos="6504"/>
        </w:tabs>
        <w:ind w:left="6504" w:hanging="360"/>
      </w:pPr>
      <w:rPr>
        <w:rFonts w:ascii="Courier New" w:hAnsi="Courier New" w:hint="default"/>
      </w:rPr>
    </w:lvl>
    <w:lvl w:ilvl="5" w:tplc="FFFFFFFF" w:tentative="1">
      <w:start w:val="1"/>
      <w:numFmt w:val="bullet"/>
      <w:lvlText w:val=""/>
      <w:lvlJc w:val="left"/>
      <w:pPr>
        <w:tabs>
          <w:tab w:val="num" w:pos="7224"/>
        </w:tabs>
        <w:ind w:left="7224" w:hanging="360"/>
      </w:pPr>
      <w:rPr>
        <w:rFonts w:ascii="Wingdings" w:hAnsi="Wingdings" w:hint="default"/>
      </w:rPr>
    </w:lvl>
    <w:lvl w:ilvl="6" w:tplc="FFFFFFFF" w:tentative="1">
      <w:start w:val="1"/>
      <w:numFmt w:val="bullet"/>
      <w:lvlText w:val=""/>
      <w:lvlJc w:val="left"/>
      <w:pPr>
        <w:tabs>
          <w:tab w:val="num" w:pos="7944"/>
        </w:tabs>
        <w:ind w:left="7944" w:hanging="360"/>
      </w:pPr>
      <w:rPr>
        <w:rFonts w:ascii="Symbol" w:hAnsi="Symbol" w:hint="default"/>
      </w:rPr>
    </w:lvl>
    <w:lvl w:ilvl="7" w:tplc="FFFFFFFF" w:tentative="1">
      <w:start w:val="1"/>
      <w:numFmt w:val="bullet"/>
      <w:lvlText w:val="o"/>
      <w:lvlJc w:val="left"/>
      <w:pPr>
        <w:tabs>
          <w:tab w:val="num" w:pos="8664"/>
        </w:tabs>
        <w:ind w:left="8664" w:hanging="360"/>
      </w:pPr>
      <w:rPr>
        <w:rFonts w:ascii="Courier New" w:hAnsi="Courier New" w:hint="default"/>
      </w:rPr>
    </w:lvl>
    <w:lvl w:ilvl="8" w:tplc="FFFFFFFF" w:tentative="1">
      <w:start w:val="1"/>
      <w:numFmt w:val="bullet"/>
      <w:lvlText w:val=""/>
      <w:lvlJc w:val="left"/>
      <w:pPr>
        <w:tabs>
          <w:tab w:val="num" w:pos="9384"/>
        </w:tabs>
        <w:ind w:left="9384" w:hanging="360"/>
      </w:pPr>
      <w:rPr>
        <w:rFonts w:ascii="Wingdings" w:hAnsi="Wingdings" w:hint="default"/>
      </w:rPr>
    </w:lvl>
  </w:abstractNum>
  <w:abstractNum w:abstractNumId="9" w15:restartNumberingAfterBreak="0">
    <w:nsid w:val="45D40788"/>
    <w:multiLevelType w:val="hybridMultilevel"/>
    <w:tmpl w:val="18E2EDE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60909DB"/>
    <w:multiLevelType w:val="multilevel"/>
    <w:tmpl w:val="52A4B9CE"/>
    <w:lvl w:ilvl="0">
      <w:start w:val="1"/>
      <w:numFmt w:val="decimal"/>
      <w:pStyle w:val="Nummering1"/>
      <w:lvlText w:val="%1."/>
      <w:lvlJc w:val="left"/>
      <w:pPr>
        <w:ind w:left="720" w:hanging="360"/>
      </w:pPr>
      <w:rPr>
        <w:rFonts w:hint="default"/>
      </w:rPr>
    </w:lvl>
    <w:lvl w:ilvl="1">
      <w:start w:val="1"/>
      <w:numFmt w:val="lowerLetter"/>
      <w:pStyle w:val="Nummering2"/>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85F1915"/>
    <w:multiLevelType w:val="multilevel"/>
    <w:tmpl w:val="5A2E10E8"/>
    <w:styleLink w:val="SDWorxBijlagen"/>
    <w:lvl w:ilvl="0">
      <w:start w:val="1"/>
      <w:numFmt w:val="decimal"/>
      <w:lvlText w:val="Bijlage %1"/>
      <w:lvlJc w:val="left"/>
      <w:pPr>
        <w:ind w:left="360" w:hanging="360"/>
      </w:pPr>
      <w:rPr>
        <w:rFonts w:ascii="Arial" w:hAnsi="Arial" w:hint="default"/>
        <w:b/>
        <w:bCs w:val="0"/>
        <w:i w:val="0"/>
        <w:iCs w:val="0"/>
        <w:caps/>
        <w:smallCaps w:val="0"/>
        <w:strike w:val="0"/>
        <w:dstrike w:val="0"/>
        <w:vanish w:val="0"/>
        <w:color w:val="000000"/>
        <w:spacing w:val="0"/>
        <w:kern w:val="0"/>
        <w:position w:val="0"/>
        <w:u w:val="none"/>
        <w:effect w:val="none"/>
        <w:vertAlign w:val="baseline"/>
        <w:em w:val="none"/>
      </w:rPr>
    </w:lvl>
    <w:lvl w:ilvl="1">
      <w:start w:val="1"/>
      <w:numFmt w:val="decimal"/>
      <w:lvlText w:val="Artikel %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2.%3.%4.%5"/>
      <w:lvlJc w:val="left"/>
      <w:pPr>
        <w:ind w:left="1008" w:hanging="1008"/>
      </w:pPr>
      <w:rPr>
        <w:rFonts w:hint="default"/>
        <w:b w:val="0"/>
        <w:i w:val="0"/>
        <w:iCs w:val="0"/>
        <w:caps w:val="0"/>
        <w:smallCaps w:val="0"/>
        <w:strike w:val="0"/>
        <w:dstrike w:val="0"/>
        <w:vanish w:val="0"/>
        <w:color w:val="000000"/>
        <w:kern w:val="0"/>
        <w:position w:val="0"/>
        <w:u w:val="none"/>
        <w:effect w:val="none"/>
        <w:vertAlign w:val="baseline"/>
        <w:em w:val="no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E7747AF"/>
    <w:multiLevelType w:val="hybridMultilevel"/>
    <w:tmpl w:val="B8F2B170"/>
    <w:lvl w:ilvl="0" w:tplc="98B85372">
      <w:start w:val="1"/>
      <w:numFmt w:val="bullet"/>
      <w:pStyle w:val="NummeringCheck"/>
      <w:lvlText w:val=""/>
      <w:lvlJc w:val="left"/>
      <w:pPr>
        <w:ind w:left="720" w:hanging="360"/>
      </w:pPr>
      <w:rPr>
        <w:rFonts w:ascii="Wingdings 2" w:hAnsi="Wingdings 2"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2DF4B6F"/>
    <w:multiLevelType w:val="hybridMultilevel"/>
    <w:tmpl w:val="077684A8"/>
    <w:lvl w:ilvl="0" w:tplc="82D460CA">
      <w:start w:val="1"/>
      <w:numFmt w:val="decimal"/>
      <w:pStyle w:val="BijlageKop1"/>
      <w:lvlText w:val="Artikel %1"/>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649F61BC"/>
    <w:multiLevelType w:val="hybridMultilevel"/>
    <w:tmpl w:val="7E0E616E"/>
    <w:lvl w:ilvl="0" w:tplc="FFFFFFFF">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8372C41"/>
    <w:multiLevelType w:val="multilevel"/>
    <w:tmpl w:val="C592EF1A"/>
    <w:lvl w:ilvl="0">
      <w:start w:val="1"/>
      <w:numFmt w:val="decimal"/>
      <w:pStyle w:val="Heading1"/>
      <w:lvlText w:val="%1 | "/>
      <w:lvlJc w:val="left"/>
      <w:pPr>
        <w:ind w:left="851" w:hanging="851"/>
      </w:pPr>
      <w:rPr>
        <w:rFonts w:hint="default"/>
      </w:rPr>
    </w:lvl>
    <w:lvl w:ilvl="1">
      <w:start w:val="1"/>
      <w:numFmt w:val="decimal"/>
      <w:pStyle w:val="Heading2"/>
      <w:lvlText w:val="%1.%2 | "/>
      <w:lvlJc w:val="left"/>
      <w:pPr>
        <w:ind w:left="6664" w:hanging="851"/>
      </w:pPr>
      <w:rPr>
        <w:rFonts w:hint="default"/>
      </w:rPr>
    </w:lvl>
    <w:lvl w:ilvl="2">
      <w:start w:val="1"/>
      <w:numFmt w:val="decimal"/>
      <w:pStyle w:val="Heading3"/>
      <w:lvlText w:val="%1.%2.%3 | "/>
      <w:lvlJc w:val="left"/>
      <w:pPr>
        <w:ind w:left="964" w:hanging="964"/>
      </w:pPr>
      <w:rPr>
        <w:rFonts w:hint="default"/>
      </w:rPr>
    </w:lvl>
    <w:lvl w:ilvl="3">
      <w:start w:val="1"/>
      <w:numFmt w:val="decimal"/>
      <w:pStyle w:val="Heading4"/>
      <w:lvlText w:val="%1.%2.%3.%4 | "/>
      <w:lvlJc w:val="left"/>
      <w:pPr>
        <w:ind w:left="964" w:hanging="964"/>
      </w:pPr>
      <w:rPr>
        <w:rFonts w:hint="default"/>
      </w:rPr>
    </w:lvl>
    <w:lvl w:ilvl="4">
      <w:start w:val="1"/>
      <w:numFmt w:val="decimal"/>
      <w:lvlText w:val="%1.%2.%3.%4.%5 | "/>
      <w:lvlJc w:val="left"/>
      <w:pPr>
        <w:ind w:left="1191" w:hanging="1191"/>
      </w:pPr>
      <w:rPr>
        <w:rFonts w:hint="default"/>
      </w:rPr>
    </w:lvl>
    <w:lvl w:ilvl="5">
      <w:start w:val="1"/>
      <w:numFmt w:val="decimal"/>
      <w:lvlText w:val="%1.%2.%3.%4.%5.%6 | "/>
      <w:lvlJc w:val="left"/>
      <w:pPr>
        <w:ind w:left="1191" w:hanging="1191"/>
      </w:pPr>
      <w:rPr>
        <w:rFonts w:hint="default"/>
      </w:rPr>
    </w:lvl>
    <w:lvl w:ilvl="6">
      <w:start w:val="1"/>
      <w:numFmt w:val="decimal"/>
      <w:lvlText w:val="%1.%2.%3.%4.%5.%6.%7 | "/>
      <w:lvlJc w:val="left"/>
      <w:pPr>
        <w:ind w:left="1418" w:hanging="1418"/>
      </w:pPr>
      <w:rPr>
        <w:rFonts w:hint="default"/>
      </w:rPr>
    </w:lvl>
    <w:lvl w:ilvl="7">
      <w:start w:val="1"/>
      <w:numFmt w:val="decimal"/>
      <w:lvlText w:val="%1.%2.%3.%4.%5.%6.%7.%8 | "/>
      <w:lvlJc w:val="left"/>
      <w:pPr>
        <w:ind w:left="1418" w:hanging="1418"/>
      </w:pPr>
      <w:rPr>
        <w:rFonts w:hint="default"/>
      </w:rPr>
    </w:lvl>
    <w:lvl w:ilvl="8">
      <w:start w:val="1"/>
      <w:numFmt w:val="decimal"/>
      <w:lvlText w:val="%1.%2.%3.%4.%5.%6.%7.%8.%9 | "/>
      <w:lvlJc w:val="left"/>
      <w:pPr>
        <w:ind w:left="1701" w:hanging="1701"/>
      </w:pPr>
      <w:rPr>
        <w:rFonts w:hint="default"/>
      </w:rPr>
    </w:lvl>
  </w:abstractNum>
  <w:abstractNum w:abstractNumId="16" w15:restartNumberingAfterBreak="0">
    <w:nsid w:val="7C080CB2"/>
    <w:multiLevelType w:val="hybridMultilevel"/>
    <w:tmpl w:val="8884D4F6"/>
    <w:lvl w:ilvl="0" w:tplc="FFFFFFFF">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637733762">
    <w:abstractNumId w:val="3"/>
  </w:num>
  <w:num w:numId="2" w16cid:durableId="736509721">
    <w:abstractNumId w:val="0"/>
  </w:num>
  <w:num w:numId="3" w16cid:durableId="604726871">
    <w:abstractNumId w:val="15"/>
  </w:num>
  <w:num w:numId="4" w16cid:durableId="16346801">
    <w:abstractNumId w:val="9"/>
  </w:num>
  <w:num w:numId="5" w16cid:durableId="297801047">
    <w:abstractNumId w:val="10"/>
  </w:num>
  <w:num w:numId="6" w16cid:durableId="1948613238">
    <w:abstractNumId w:val="6"/>
  </w:num>
  <w:num w:numId="7" w16cid:durableId="1404640564">
    <w:abstractNumId w:val="4"/>
  </w:num>
  <w:num w:numId="8" w16cid:durableId="1121343418">
    <w:abstractNumId w:val="11"/>
  </w:num>
  <w:num w:numId="9" w16cid:durableId="1655140104">
    <w:abstractNumId w:val="2"/>
  </w:num>
  <w:num w:numId="10" w16cid:durableId="337928071">
    <w:abstractNumId w:val="12"/>
  </w:num>
  <w:num w:numId="11" w16cid:durableId="836765948">
    <w:abstractNumId w:val="13"/>
  </w:num>
  <w:num w:numId="12" w16cid:durableId="1339387729">
    <w:abstractNumId w:val="8"/>
  </w:num>
  <w:num w:numId="13" w16cid:durableId="1399279278">
    <w:abstractNumId w:val="14"/>
  </w:num>
  <w:num w:numId="14" w16cid:durableId="787118798">
    <w:abstractNumId w:val="5"/>
  </w:num>
  <w:num w:numId="15" w16cid:durableId="603614884">
    <w:abstractNumId w:val="16"/>
  </w:num>
  <w:num w:numId="16" w16cid:durableId="19342003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activeWritingStyle w:appName="MSWord" w:lang="nl-BE" w:vendorID="64" w:dllVersion="0" w:nlCheck="1" w:checkStyle="0"/>
  <w:activeWritingStyle w:appName="MSWord" w:lang="nl-NL" w:vendorID="64" w:dllVersion="0" w:nlCheck="1" w:checkStyle="0"/>
  <w:activeWritingStyle w:appName="MSWord" w:lang="fr-FR"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hyphenationZone w:val="425"/>
  <w:clickAndTypeStyle w:val="SDWorxbodytext"/>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711"/>
    <w:rsid w:val="00000143"/>
    <w:rsid w:val="000022A6"/>
    <w:rsid w:val="0001049B"/>
    <w:rsid w:val="000107E5"/>
    <w:rsid w:val="000141AC"/>
    <w:rsid w:val="000148F8"/>
    <w:rsid w:val="00017EAD"/>
    <w:rsid w:val="000210B5"/>
    <w:rsid w:val="0002129A"/>
    <w:rsid w:val="000240FC"/>
    <w:rsid w:val="0002638C"/>
    <w:rsid w:val="00030032"/>
    <w:rsid w:val="000308AF"/>
    <w:rsid w:val="00030AE4"/>
    <w:rsid w:val="00031131"/>
    <w:rsid w:val="00032BD5"/>
    <w:rsid w:val="000332CD"/>
    <w:rsid w:val="00033905"/>
    <w:rsid w:val="00034152"/>
    <w:rsid w:val="0003427A"/>
    <w:rsid w:val="00034B36"/>
    <w:rsid w:val="00037C0F"/>
    <w:rsid w:val="00040083"/>
    <w:rsid w:val="0004216A"/>
    <w:rsid w:val="00046531"/>
    <w:rsid w:val="00050B82"/>
    <w:rsid w:val="00051675"/>
    <w:rsid w:val="00051C5B"/>
    <w:rsid w:val="00053A8E"/>
    <w:rsid w:val="00061957"/>
    <w:rsid w:val="00065DAF"/>
    <w:rsid w:val="000661CB"/>
    <w:rsid w:val="000712B6"/>
    <w:rsid w:val="000728D4"/>
    <w:rsid w:val="0007290D"/>
    <w:rsid w:val="00074654"/>
    <w:rsid w:val="00075131"/>
    <w:rsid w:val="00077D61"/>
    <w:rsid w:val="000810FB"/>
    <w:rsid w:val="00081379"/>
    <w:rsid w:val="000832D0"/>
    <w:rsid w:val="000848C2"/>
    <w:rsid w:val="00085EE7"/>
    <w:rsid w:val="000864CD"/>
    <w:rsid w:val="00087FC9"/>
    <w:rsid w:val="00091377"/>
    <w:rsid w:val="000942D6"/>
    <w:rsid w:val="0009492E"/>
    <w:rsid w:val="00096AB0"/>
    <w:rsid w:val="000A0F1B"/>
    <w:rsid w:val="000A169F"/>
    <w:rsid w:val="000A197D"/>
    <w:rsid w:val="000A49B0"/>
    <w:rsid w:val="000A4B6F"/>
    <w:rsid w:val="000B1DB3"/>
    <w:rsid w:val="000B28FC"/>
    <w:rsid w:val="000B378A"/>
    <w:rsid w:val="000B4AF7"/>
    <w:rsid w:val="000B5744"/>
    <w:rsid w:val="000B68E3"/>
    <w:rsid w:val="000B7DEF"/>
    <w:rsid w:val="000B7ECA"/>
    <w:rsid w:val="000C0160"/>
    <w:rsid w:val="000C0B10"/>
    <w:rsid w:val="000C2EDD"/>
    <w:rsid w:val="000C4998"/>
    <w:rsid w:val="000C4DD7"/>
    <w:rsid w:val="000C5381"/>
    <w:rsid w:val="000D0062"/>
    <w:rsid w:val="000D06A6"/>
    <w:rsid w:val="000D1212"/>
    <w:rsid w:val="000D3583"/>
    <w:rsid w:val="000D48A2"/>
    <w:rsid w:val="000D6655"/>
    <w:rsid w:val="000E0123"/>
    <w:rsid w:val="000E1BD0"/>
    <w:rsid w:val="000E6470"/>
    <w:rsid w:val="000E697B"/>
    <w:rsid w:val="000E6ABA"/>
    <w:rsid w:val="000E6DE0"/>
    <w:rsid w:val="000E6F83"/>
    <w:rsid w:val="000F009E"/>
    <w:rsid w:val="000F30AA"/>
    <w:rsid w:val="000F3109"/>
    <w:rsid w:val="000F320F"/>
    <w:rsid w:val="000F3AF8"/>
    <w:rsid w:val="000F3BE4"/>
    <w:rsid w:val="000F58F5"/>
    <w:rsid w:val="000F5A3A"/>
    <w:rsid w:val="001018FF"/>
    <w:rsid w:val="00103910"/>
    <w:rsid w:val="0010687E"/>
    <w:rsid w:val="001103F5"/>
    <w:rsid w:val="0011352C"/>
    <w:rsid w:val="001142F5"/>
    <w:rsid w:val="00115402"/>
    <w:rsid w:val="00115E29"/>
    <w:rsid w:val="00117965"/>
    <w:rsid w:val="001204FF"/>
    <w:rsid w:val="00120855"/>
    <w:rsid w:val="001219F5"/>
    <w:rsid w:val="0012351F"/>
    <w:rsid w:val="00126534"/>
    <w:rsid w:val="001337AD"/>
    <w:rsid w:val="0013514D"/>
    <w:rsid w:val="00135F9D"/>
    <w:rsid w:val="00136E68"/>
    <w:rsid w:val="00136E88"/>
    <w:rsid w:val="001402BC"/>
    <w:rsid w:val="00140940"/>
    <w:rsid w:val="001420B5"/>
    <w:rsid w:val="001450BD"/>
    <w:rsid w:val="001509FE"/>
    <w:rsid w:val="0015180A"/>
    <w:rsid w:val="001526B5"/>
    <w:rsid w:val="0015322D"/>
    <w:rsid w:val="001542E8"/>
    <w:rsid w:val="00161180"/>
    <w:rsid w:val="001633B0"/>
    <w:rsid w:val="001634F8"/>
    <w:rsid w:val="00165200"/>
    <w:rsid w:val="001671CF"/>
    <w:rsid w:val="001674EB"/>
    <w:rsid w:val="001679DB"/>
    <w:rsid w:val="00173973"/>
    <w:rsid w:val="00173F64"/>
    <w:rsid w:val="00174352"/>
    <w:rsid w:val="00176511"/>
    <w:rsid w:val="00180024"/>
    <w:rsid w:val="00181665"/>
    <w:rsid w:val="00182367"/>
    <w:rsid w:val="00182453"/>
    <w:rsid w:val="00183205"/>
    <w:rsid w:val="00183E55"/>
    <w:rsid w:val="001864BD"/>
    <w:rsid w:val="00186A6E"/>
    <w:rsid w:val="00186D02"/>
    <w:rsid w:val="00186E80"/>
    <w:rsid w:val="00191C46"/>
    <w:rsid w:val="00192064"/>
    <w:rsid w:val="001924F3"/>
    <w:rsid w:val="0019275A"/>
    <w:rsid w:val="001927BC"/>
    <w:rsid w:val="001943C0"/>
    <w:rsid w:val="0019590E"/>
    <w:rsid w:val="00195A92"/>
    <w:rsid w:val="001A00AA"/>
    <w:rsid w:val="001A1339"/>
    <w:rsid w:val="001A265F"/>
    <w:rsid w:val="001A4ECD"/>
    <w:rsid w:val="001A58BA"/>
    <w:rsid w:val="001A6C37"/>
    <w:rsid w:val="001A78B3"/>
    <w:rsid w:val="001B2673"/>
    <w:rsid w:val="001B5631"/>
    <w:rsid w:val="001B6AE4"/>
    <w:rsid w:val="001C1999"/>
    <w:rsid w:val="001C3F1D"/>
    <w:rsid w:val="001C492B"/>
    <w:rsid w:val="001C61EB"/>
    <w:rsid w:val="001D2C8A"/>
    <w:rsid w:val="001D2CAF"/>
    <w:rsid w:val="001D4366"/>
    <w:rsid w:val="001D54E6"/>
    <w:rsid w:val="001D554D"/>
    <w:rsid w:val="001E0231"/>
    <w:rsid w:val="001E0437"/>
    <w:rsid w:val="001E0F17"/>
    <w:rsid w:val="001E2B90"/>
    <w:rsid w:val="001E3207"/>
    <w:rsid w:val="001E4EAB"/>
    <w:rsid w:val="001E6711"/>
    <w:rsid w:val="001E7E75"/>
    <w:rsid w:val="001F2A65"/>
    <w:rsid w:val="002016AE"/>
    <w:rsid w:val="002031FE"/>
    <w:rsid w:val="002034DB"/>
    <w:rsid w:val="0020495C"/>
    <w:rsid w:val="002062B5"/>
    <w:rsid w:val="002108B3"/>
    <w:rsid w:val="00211210"/>
    <w:rsid w:val="002112AB"/>
    <w:rsid w:val="00214158"/>
    <w:rsid w:val="00217BDB"/>
    <w:rsid w:val="00220A89"/>
    <w:rsid w:val="002217FA"/>
    <w:rsid w:val="00221988"/>
    <w:rsid w:val="00223565"/>
    <w:rsid w:val="002237F2"/>
    <w:rsid w:val="0022411E"/>
    <w:rsid w:val="00225727"/>
    <w:rsid w:val="00227CF9"/>
    <w:rsid w:val="002336CC"/>
    <w:rsid w:val="00234ED1"/>
    <w:rsid w:val="002350FE"/>
    <w:rsid w:val="002403F6"/>
    <w:rsid w:val="00240B31"/>
    <w:rsid w:val="002419AE"/>
    <w:rsid w:val="00242CEB"/>
    <w:rsid w:val="002431F2"/>
    <w:rsid w:val="002431FE"/>
    <w:rsid w:val="00243653"/>
    <w:rsid w:val="002452AB"/>
    <w:rsid w:val="00247A61"/>
    <w:rsid w:val="00247A70"/>
    <w:rsid w:val="00252BE5"/>
    <w:rsid w:val="00254D7F"/>
    <w:rsid w:val="0025760E"/>
    <w:rsid w:val="00257800"/>
    <w:rsid w:val="00260D0E"/>
    <w:rsid w:val="002619AD"/>
    <w:rsid w:val="00263491"/>
    <w:rsid w:val="00263F9C"/>
    <w:rsid w:val="00265CEC"/>
    <w:rsid w:val="002737C8"/>
    <w:rsid w:val="002744C6"/>
    <w:rsid w:val="00276455"/>
    <w:rsid w:val="00281208"/>
    <w:rsid w:val="002825D0"/>
    <w:rsid w:val="00283BF7"/>
    <w:rsid w:val="002844B5"/>
    <w:rsid w:val="0028453C"/>
    <w:rsid w:val="002855D2"/>
    <w:rsid w:val="00286E4F"/>
    <w:rsid w:val="00287F70"/>
    <w:rsid w:val="00290918"/>
    <w:rsid w:val="00291267"/>
    <w:rsid w:val="0029555B"/>
    <w:rsid w:val="002955A0"/>
    <w:rsid w:val="002978B9"/>
    <w:rsid w:val="002A1EBD"/>
    <w:rsid w:val="002A284C"/>
    <w:rsid w:val="002A2851"/>
    <w:rsid w:val="002A2AB0"/>
    <w:rsid w:val="002A3B1F"/>
    <w:rsid w:val="002B1B84"/>
    <w:rsid w:val="002B3A95"/>
    <w:rsid w:val="002B58F3"/>
    <w:rsid w:val="002B5C67"/>
    <w:rsid w:val="002B697F"/>
    <w:rsid w:val="002C09B8"/>
    <w:rsid w:val="002C3424"/>
    <w:rsid w:val="002C5056"/>
    <w:rsid w:val="002C582F"/>
    <w:rsid w:val="002C7E16"/>
    <w:rsid w:val="002D115D"/>
    <w:rsid w:val="002D1DA0"/>
    <w:rsid w:val="002D1E88"/>
    <w:rsid w:val="002D3704"/>
    <w:rsid w:val="002D4524"/>
    <w:rsid w:val="002D45B9"/>
    <w:rsid w:val="002D4EF3"/>
    <w:rsid w:val="002D75EB"/>
    <w:rsid w:val="002D75FC"/>
    <w:rsid w:val="002D7AA2"/>
    <w:rsid w:val="002E07C4"/>
    <w:rsid w:val="002E5AB4"/>
    <w:rsid w:val="002E6BBA"/>
    <w:rsid w:val="002F0C73"/>
    <w:rsid w:val="002F4703"/>
    <w:rsid w:val="002F47C3"/>
    <w:rsid w:val="002F562F"/>
    <w:rsid w:val="002F67AB"/>
    <w:rsid w:val="002F6AB1"/>
    <w:rsid w:val="002F6C80"/>
    <w:rsid w:val="002F7148"/>
    <w:rsid w:val="003004FE"/>
    <w:rsid w:val="003012F8"/>
    <w:rsid w:val="00303952"/>
    <w:rsid w:val="00304817"/>
    <w:rsid w:val="00304844"/>
    <w:rsid w:val="00305698"/>
    <w:rsid w:val="00306F4E"/>
    <w:rsid w:val="003074DE"/>
    <w:rsid w:val="00307E4D"/>
    <w:rsid w:val="00313509"/>
    <w:rsid w:val="00313D67"/>
    <w:rsid w:val="0031449B"/>
    <w:rsid w:val="0031578F"/>
    <w:rsid w:val="00321157"/>
    <w:rsid w:val="003246D7"/>
    <w:rsid w:val="00327483"/>
    <w:rsid w:val="00327681"/>
    <w:rsid w:val="003326A7"/>
    <w:rsid w:val="00332A42"/>
    <w:rsid w:val="00333F76"/>
    <w:rsid w:val="00333F94"/>
    <w:rsid w:val="00334814"/>
    <w:rsid w:val="00334C2B"/>
    <w:rsid w:val="00334F55"/>
    <w:rsid w:val="00337591"/>
    <w:rsid w:val="00341170"/>
    <w:rsid w:val="0034266A"/>
    <w:rsid w:val="00342CF9"/>
    <w:rsid w:val="00343091"/>
    <w:rsid w:val="003448AA"/>
    <w:rsid w:val="00351B1A"/>
    <w:rsid w:val="00351D8F"/>
    <w:rsid w:val="0035221C"/>
    <w:rsid w:val="003529A6"/>
    <w:rsid w:val="003536F7"/>
    <w:rsid w:val="00353AAA"/>
    <w:rsid w:val="003553F5"/>
    <w:rsid w:val="00355A5D"/>
    <w:rsid w:val="003571B7"/>
    <w:rsid w:val="00357292"/>
    <w:rsid w:val="003635FD"/>
    <w:rsid w:val="00364118"/>
    <w:rsid w:val="003657CB"/>
    <w:rsid w:val="00366ECA"/>
    <w:rsid w:val="00367773"/>
    <w:rsid w:val="003677C4"/>
    <w:rsid w:val="003677C9"/>
    <w:rsid w:val="00367A81"/>
    <w:rsid w:val="00370281"/>
    <w:rsid w:val="003714BB"/>
    <w:rsid w:val="0037339D"/>
    <w:rsid w:val="00375158"/>
    <w:rsid w:val="00375378"/>
    <w:rsid w:val="003762EB"/>
    <w:rsid w:val="003768F4"/>
    <w:rsid w:val="00380D7B"/>
    <w:rsid w:val="00381184"/>
    <w:rsid w:val="003818C6"/>
    <w:rsid w:val="0038545B"/>
    <w:rsid w:val="00385F88"/>
    <w:rsid w:val="00391381"/>
    <w:rsid w:val="00391C5D"/>
    <w:rsid w:val="00392224"/>
    <w:rsid w:val="0039241D"/>
    <w:rsid w:val="00393F75"/>
    <w:rsid w:val="00397878"/>
    <w:rsid w:val="00397BCC"/>
    <w:rsid w:val="003A07AE"/>
    <w:rsid w:val="003A12CD"/>
    <w:rsid w:val="003A270B"/>
    <w:rsid w:val="003A277C"/>
    <w:rsid w:val="003A2800"/>
    <w:rsid w:val="003A28A3"/>
    <w:rsid w:val="003A2D92"/>
    <w:rsid w:val="003A7225"/>
    <w:rsid w:val="003A7425"/>
    <w:rsid w:val="003A7632"/>
    <w:rsid w:val="003B0223"/>
    <w:rsid w:val="003B0E03"/>
    <w:rsid w:val="003B10F9"/>
    <w:rsid w:val="003B134A"/>
    <w:rsid w:val="003B1AAF"/>
    <w:rsid w:val="003B1C5D"/>
    <w:rsid w:val="003B2537"/>
    <w:rsid w:val="003B2D55"/>
    <w:rsid w:val="003B3FD1"/>
    <w:rsid w:val="003B4C3D"/>
    <w:rsid w:val="003B5DBD"/>
    <w:rsid w:val="003B69C2"/>
    <w:rsid w:val="003B7895"/>
    <w:rsid w:val="003C0BED"/>
    <w:rsid w:val="003C1450"/>
    <w:rsid w:val="003C2904"/>
    <w:rsid w:val="003C71B6"/>
    <w:rsid w:val="003C79D7"/>
    <w:rsid w:val="003D0258"/>
    <w:rsid w:val="003D0BDD"/>
    <w:rsid w:val="003D10F9"/>
    <w:rsid w:val="003D1A1E"/>
    <w:rsid w:val="003D28C2"/>
    <w:rsid w:val="003D2CFA"/>
    <w:rsid w:val="003D2EA6"/>
    <w:rsid w:val="003D41EC"/>
    <w:rsid w:val="003D4226"/>
    <w:rsid w:val="003D48C2"/>
    <w:rsid w:val="003D7252"/>
    <w:rsid w:val="003D768C"/>
    <w:rsid w:val="003E2DAE"/>
    <w:rsid w:val="003E5BD4"/>
    <w:rsid w:val="003E650D"/>
    <w:rsid w:val="003F14F2"/>
    <w:rsid w:val="003F206B"/>
    <w:rsid w:val="003F2D6F"/>
    <w:rsid w:val="003F3397"/>
    <w:rsid w:val="003F3B39"/>
    <w:rsid w:val="003F4C05"/>
    <w:rsid w:val="003F70BE"/>
    <w:rsid w:val="00401561"/>
    <w:rsid w:val="004025E6"/>
    <w:rsid w:val="00403C2B"/>
    <w:rsid w:val="004106E8"/>
    <w:rsid w:val="004112FB"/>
    <w:rsid w:val="004119C2"/>
    <w:rsid w:val="0041614F"/>
    <w:rsid w:val="004164B1"/>
    <w:rsid w:val="0042150B"/>
    <w:rsid w:val="00422C07"/>
    <w:rsid w:val="00425534"/>
    <w:rsid w:val="00427701"/>
    <w:rsid w:val="00433092"/>
    <w:rsid w:val="004341F4"/>
    <w:rsid w:val="004346E0"/>
    <w:rsid w:val="00435E7C"/>
    <w:rsid w:val="00437152"/>
    <w:rsid w:val="0044072A"/>
    <w:rsid w:val="00441404"/>
    <w:rsid w:val="004424B1"/>
    <w:rsid w:val="00442BCA"/>
    <w:rsid w:val="00445F9D"/>
    <w:rsid w:val="00446DBA"/>
    <w:rsid w:val="00447236"/>
    <w:rsid w:val="00452405"/>
    <w:rsid w:val="00452E47"/>
    <w:rsid w:val="004550BC"/>
    <w:rsid w:val="00455982"/>
    <w:rsid w:val="00456E6D"/>
    <w:rsid w:val="00460852"/>
    <w:rsid w:val="00461726"/>
    <w:rsid w:val="00462CAC"/>
    <w:rsid w:val="00462EE7"/>
    <w:rsid w:val="00463789"/>
    <w:rsid w:val="00465217"/>
    <w:rsid w:val="0046748C"/>
    <w:rsid w:val="00474D8A"/>
    <w:rsid w:val="0047603D"/>
    <w:rsid w:val="00480EE4"/>
    <w:rsid w:val="00481827"/>
    <w:rsid w:val="0048196D"/>
    <w:rsid w:val="004842E3"/>
    <w:rsid w:val="00486C5C"/>
    <w:rsid w:val="00486CE0"/>
    <w:rsid w:val="00492924"/>
    <w:rsid w:val="004930D7"/>
    <w:rsid w:val="004959F5"/>
    <w:rsid w:val="00495E45"/>
    <w:rsid w:val="00495EE6"/>
    <w:rsid w:val="004A2E45"/>
    <w:rsid w:val="004A326F"/>
    <w:rsid w:val="004A55E4"/>
    <w:rsid w:val="004A7333"/>
    <w:rsid w:val="004A76CB"/>
    <w:rsid w:val="004A7D2E"/>
    <w:rsid w:val="004B0522"/>
    <w:rsid w:val="004B16A4"/>
    <w:rsid w:val="004B1C80"/>
    <w:rsid w:val="004B4BA6"/>
    <w:rsid w:val="004B4F70"/>
    <w:rsid w:val="004B54BD"/>
    <w:rsid w:val="004B6893"/>
    <w:rsid w:val="004B7527"/>
    <w:rsid w:val="004C0C98"/>
    <w:rsid w:val="004C44D6"/>
    <w:rsid w:val="004C5AE4"/>
    <w:rsid w:val="004C5F7C"/>
    <w:rsid w:val="004C605C"/>
    <w:rsid w:val="004C76A8"/>
    <w:rsid w:val="004D527B"/>
    <w:rsid w:val="004E07B0"/>
    <w:rsid w:val="004E1087"/>
    <w:rsid w:val="004E232B"/>
    <w:rsid w:val="004E5287"/>
    <w:rsid w:val="004E5349"/>
    <w:rsid w:val="004E7CD1"/>
    <w:rsid w:val="004F0209"/>
    <w:rsid w:val="004F0F7F"/>
    <w:rsid w:val="004F10FD"/>
    <w:rsid w:val="004F1293"/>
    <w:rsid w:val="004F46BC"/>
    <w:rsid w:val="004F5514"/>
    <w:rsid w:val="004F5CFD"/>
    <w:rsid w:val="004F6423"/>
    <w:rsid w:val="004F750D"/>
    <w:rsid w:val="004F7F76"/>
    <w:rsid w:val="00501BC8"/>
    <w:rsid w:val="00503287"/>
    <w:rsid w:val="00504F96"/>
    <w:rsid w:val="00505456"/>
    <w:rsid w:val="00505876"/>
    <w:rsid w:val="00510C89"/>
    <w:rsid w:val="00511907"/>
    <w:rsid w:val="0051484F"/>
    <w:rsid w:val="005168C0"/>
    <w:rsid w:val="00517516"/>
    <w:rsid w:val="00520169"/>
    <w:rsid w:val="005214E9"/>
    <w:rsid w:val="00522F46"/>
    <w:rsid w:val="00524E98"/>
    <w:rsid w:val="00526E16"/>
    <w:rsid w:val="0053269C"/>
    <w:rsid w:val="00540C18"/>
    <w:rsid w:val="00542377"/>
    <w:rsid w:val="0054490B"/>
    <w:rsid w:val="00546745"/>
    <w:rsid w:val="0055037F"/>
    <w:rsid w:val="00551691"/>
    <w:rsid w:val="00552797"/>
    <w:rsid w:val="00555B83"/>
    <w:rsid w:val="00561338"/>
    <w:rsid w:val="00561964"/>
    <w:rsid w:val="00561A89"/>
    <w:rsid w:val="00561AC4"/>
    <w:rsid w:val="00561B22"/>
    <w:rsid w:val="00563011"/>
    <w:rsid w:val="005639F6"/>
    <w:rsid w:val="005645DD"/>
    <w:rsid w:val="00564C84"/>
    <w:rsid w:val="005651CC"/>
    <w:rsid w:val="00565481"/>
    <w:rsid w:val="00565C81"/>
    <w:rsid w:val="005700FD"/>
    <w:rsid w:val="00571ABC"/>
    <w:rsid w:val="00583803"/>
    <w:rsid w:val="00583FC2"/>
    <w:rsid w:val="00587CB2"/>
    <w:rsid w:val="00590449"/>
    <w:rsid w:val="00590E06"/>
    <w:rsid w:val="00592435"/>
    <w:rsid w:val="00594489"/>
    <w:rsid w:val="00594B54"/>
    <w:rsid w:val="00595597"/>
    <w:rsid w:val="00597232"/>
    <w:rsid w:val="005979BB"/>
    <w:rsid w:val="005A18FF"/>
    <w:rsid w:val="005A4A8E"/>
    <w:rsid w:val="005B18C6"/>
    <w:rsid w:val="005B25D8"/>
    <w:rsid w:val="005B48A0"/>
    <w:rsid w:val="005B7BBE"/>
    <w:rsid w:val="005C1F4B"/>
    <w:rsid w:val="005C2140"/>
    <w:rsid w:val="005C7053"/>
    <w:rsid w:val="005D028F"/>
    <w:rsid w:val="005D2207"/>
    <w:rsid w:val="005D2D84"/>
    <w:rsid w:val="005D3023"/>
    <w:rsid w:val="005D36AD"/>
    <w:rsid w:val="005D44AC"/>
    <w:rsid w:val="005E3E90"/>
    <w:rsid w:val="005E4261"/>
    <w:rsid w:val="005E4EF0"/>
    <w:rsid w:val="005E4FDA"/>
    <w:rsid w:val="005E605F"/>
    <w:rsid w:val="005F0AB2"/>
    <w:rsid w:val="005F1146"/>
    <w:rsid w:val="005F274C"/>
    <w:rsid w:val="005F30A0"/>
    <w:rsid w:val="00600FA4"/>
    <w:rsid w:val="0060164B"/>
    <w:rsid w:val="00601853"/>
    <w:rsid w:val="0060202F"/>
    <w:rsid w:val="00603C69"/>
    <w:rsid w:val="00606437"/>
    <w:rsid w:val="00606D34"/>
    <w:rsid w:val="0061268A"/>
    <w:rsid w:val="006138BE"/>
    <w:rsid w:val="00613EE6"/>
    <w:rsid w:val="00615F60"/>
    <w:rsid w:val="0061780A"/>
    <w:rsid w:val="00620A5C"/>
    <w:rsid w:val="0062428B"/>
    <w:rsid w:val="00625225"/>
    <w:rsid w:val="0062657E"/>
    <w:rsid w:val="00626D8E"/>
    <w:rsid w:val="00633932"/>
    <w:rsid w:val="00634BB8"/>
    <w:rsid w:val="00634E8F"/>
    <w:rsid w:val="00637E61"/>
    <w:rsid w:val="00642DC7"/>
    <w:rsid w:val="00643C74"/>
    <w:rsid w:val="00643C9C"/>
    <w:rsid w:val="006455F5"/>
    <w:rsid w:val="00645BD1"/>
    <w:rsid w:val="00650864"/>
    <w:rsid w:val="00652413"/>
    <w:rsid w:val="0065467D"/>
    <w:rsid w:val="00657CFA"/>
    <w:rsid w:val="00660004"/>
    <w:rsid w:val="0066360F"/>
    <w:rsid w:val="00664383"/>
    <w:rsid w:val="00665312"/>
    <w:rsid w:val="00667896"/>
    <w:rsid w:val="006706D7"/>
    <w:rsid w:val="00671553"/>
    <w:rsid w:val="00673B1B"/>
    <w:rsid w:val="0067403A"/>
    <w:rsid w:val="00675AA0"/>
    <w:rsid w:val="00675E7E"/>
    <w:rsid w:val="00681E33"/>
    <w:rsid w:val="006839A3"/>
    <w:rsid w:val="00683F92"/>
    <w:rsid w:val="0068544E"/>
    <w:rsid w:val="00686407"/>
    <w:rsid w:val="00692C42"/>
    <w:rsid w:val="00697538"/>
    <w:rsid w:val="006A59FF"/>
    <w:rsid w:val="006A6018"/>
    <w:rsid w:val="006A6253"/>
    <w:rsid w:val="006B3646"/>
    <w:rsid w:val="006B3870"/>
    <w:rsid w:val="006B4D3C"/>
    <w:rsid w:val="006B7AA2"/>
    <w:rsid w:val="006C10B6"/>
    <w:rsid w:val="006C1395"/>
    <w:rsid w:val="006C15B9"/>
    <w:rsid w:val="006C38E4"/>
    <w:rsid w:val="006C3C4F"/>
    <w:rsid w:val="006C4688"/>
    <w:rsid w:val="006C5711"/>
    <w:rsid w:val="006C6314"/>
    <w:rsid w:val="006D0578"/>
    <w:rsid w:val="006D3EB7"/>
    <w:rsid w:val="006D5107"/>
    <w:rsid w:val="006D5BBA"/>
    <w:rsid w:val="006D6B10"/>
    <w:rsid w:val="006D74F3"/>
    <w:rsid w:val="006E4A95"/>
    <w:rsid w:val="006E561B"/>
    <w:rsid w:val="006E6235"/>
    <w:rsid w:val="006E7A01"/>
    <w:rsid w:val="006F1BC1"/>
    <w:rsid w:val="006F302D"/>
    <w:rsid w:val="006F4143"/>
    <w:rsid w:val="006F52B7"/>
    <w:rsid w:val="006F7AF3"/>
    <w:rsid w:val="0070079D"/>
    <w:rsid w:val="00701FC2"/>
    <w:rsid w:val="00702687"/>
    <w:rsid w:val="00704242"/>
    <w:rsid w:val="0071020A"/>
    <w:rsid w:val="0071153E"/>
    <w:rsid w:val="007131C8"/>
    <w:rsid w:val="00713C1A"/>
    <w:rsid w:val="00716752"/>
    <w:rsid w:val="00716961"/>
    <w:rsid w:val="00716EB6"/>
    <w:rsid w:val="00716ED1"/>
    <w:rsid w:val="007213E8"/>
    <w:rsid w:val="00730CD3"/>
    <w:rsid w:val="0073130D"/>
    <w:rsid w:val="007316B6"/>
    <w:rsid w:val="00733FDE"/>
    <w:rsid w:val="00734C29"/>
    <w:rsid w:val="00735231"/>
    <w:rsid w:val="00735BA4"/>
    <w:rsid w:val="0074232D"/>
    <w:rsid w:val="00743429"/>
    <w:rsid w:val="007442BD"/>
    <w:rsid w:val="00744727"/>
    <w:rsid w:val="007507EB"/>
    <w:rsid w:val="0075146E"/>
    <w:rsid w:val="00751AE0"/>
    <w:rsid w:val="0075542A"/>
    <w:rsid w:val="007627EE"/>
    <w:rsid w:val="007648E9"/>
    <w:rsid w:val="007662F8"/>
    <w:rsid w:val="00766420"/>
    <w:rsid w:val="00766DF6"/>
    <w:rsid w:val="007736E7"/>
    <w:rsid w:val="00775E5D"/>
    <w:rsid w:val="007826F4"/>
    <w:rsid w:val="00782777"/>
    <w:rsid w:val="00785691"/>
    <w:rsid w:val="007862D1"/>
    <w:rsid w:val="00787A9F"/>
    <w:rsid w:val="00787B08"/>
    <w:rsid w:val="0079012D"/>
    <w:rsid w:val="0079024F"/>
    <w:rsid w:val="007903BD"/>
    <w:rsid w:val="0079091F"/>
    <w:rsid w:val="0079280B"/>
    <w:rsid w:val="00794715"/>
    <w:rsid w:val="00795B45"/>
    <w:rsid w:val="00796206"/>
    <w:rsid w:val="00797741"/>
    <w:rsid w:val="007A1255"/>
    <w:rsid w:val="007A331C"/>
    <w:rsid w:val="007A539F"/>
    <w:rsid w:val="007B0402"/>
    <w:rsid w:val="007B09D5"/>
    <w:rsid w:val="007B1514"/>
    <w:rsid w:val="007B7A4F"/>
    <w:rsid w:val="007C03AD"/>
    <w:rsid w:val="007C4C95"/>
    <w:rsid w:val="007C6552"/>
    <w:rsid w:val="007C656C"/>
    <w:rsid w:val="007C675D"/>
    <w:rsid w:val="007D0455"/>
    <w:rsid w:val="007D0909"/>
    <w:rsid w:val="007D13AA"/>
    <w:rsid w:val="007D4082"/>
    <w:rsid w:val="007D5741"/>
    <w:rsid w:val="007E0F44"/>
    <w:rsid w:val="007E49A2"/>
    <w:rsid w:val="007E526C"/>
    <w:rsid w:val="007E5B99"/>
    <w:rsid w:val="007E687F"/>
    <w:rsid w:val="007E6C74"/>
    <w:rsid w:val="007E7B1F"/>
    <w:rsid w:val="007F0D7F"/>
    <w:rsid w:val="007F1BF6"/>
    <w:rsid w:val="007F21F3"/>
    <w:rsid w:val="007F2F8A"/>
    <w:rsid w:val="007F7C55"/>
    <w:rsid w:val="008004F3"/>
    <w:rsid w:val="00800743"/>
    <w:rsid w:val="00801413"/>
    <w:rsid w:val="00801A40"/>
    <w:rsid w:val="008021CA"/>
    <w:rsid w:val="00802952"/>
    <w:rsid w:val="00804152"/>
    <w:rsid w:val="00804770"/>
    <w:rsid w:val="008066D3"/>
    <w:rsid w:val="00806774"/>
    <w:rsid w:val="008069B0"/>
    <w:rsid w:val="00806C2C"/>
    <w:rsid w:val="00806E29"/>
    <w:rsid w:val="00810D17"/>
    <w:rsid w:val="008157DD"/>
    <w:rsid w:val="008164DD"/>
    <w:rsid w:val="00820499"/>
    <w:rsid w:val="00822F9B"/>
    <w:rsid w:val="00837A51"/>
    <w:rsid w:val="00840A12"/>
    <w:rsid w:val="00841226"/>
    <w:rsid w:val="00842A64"/>
    <w:rsid w:val="0084313E"/>
    <w:rsid w:val="00845970"/>
    <w:rsid w:val="008459C5"/>
    <w:rsid w:val="00850384"/>
    <w:rsid w:val="00851990"/>
    <w:rsid w:val="00857A3F"/>
    <w:rsid w:val="00862C59"/>
    <w:rsid w:val="0086776A"/>
    <w:rsid w:val="00870B41"/>
    <w:rsid w:val="00871CEE"/>
    <w:rsid w:val="008725C6"/>
    <w:rsid w:val="0087640C"/>
    <w:rsid w:val="00876A07"/>
    <w:rsid w:val="00882FFE"/>
    <w:rsid w:val="00883C59"/>
    <w:rsid w:val="00884526"/>
    <w:rsid w:val="00884CED"/>
    <w:rsid w:val="008904D7"/>
    <w:rsid w:val="008912DB"/>
    <w:rsid w:val="008917F2"/>
    <w:rsid w:val="00893DEC"/>
    <w:rsid w:val="00894395"/>
    <w:rsid w:val="00895D75"/>
    <w:rsid w:val="00897A1A"/>
    <w:rsid w:val="008A0790"/>
    <w:rsid w:val="008A25F5"/>
    <w:rsid w:val="008A539F"/>
    <w:rsid w:val="008A7A3B"/>
    <w:rsid w:val="008B1F00"/>
    <w:rsid w:val="008B23E3"/>
    <w:rsid w:val="008C02E5"/>
    <w:rsid w:val="008C12FF"/>
    <w:rsid w:val="008C143E"/>
    <w:rsid w:val="008C2916"/>
    <w:rsid w:val="008C549B"/>
    <w:rsid w:val="008C59D6"/>
    <w:rsid w:val="008C59DD"/>
    <w:rsid w:val="008C73B7"/>
    <w:rsid w:val="008C7C06"/>
    <w:rsid w:val="008D1A2C"/>
    <w:rsid w:val="008D2BE7"/>
    <w:rsid w:val="008D2D99"/>
    <w:rsid w:val="008D573A"/>
    <w:rsid w:val="008D6AED"/>
    <w:rsid w:val="008E0351"/>
    <w:rsid w:val="008E1584"/>
    <w:rsid w:val="008E51FC"/>
    <w:rsid w:val="008E5478"/>
    <w:rsid w:val="008E574A"/>
    <w:rsid w:val="008E712C"/>
    <w:rsid w:val="008F1ED6"/>
    <w:rsid w:val="008F44F8"/>
    <w:rsid w:val="00900F3F"/>
    <w:rsid w:val="00903318"/>
    <w:rsid w:val="00903684"/>
    <w:rsid w:val="00903925"/>
    <w:rsid w:val="0090638D"/>
    <w:rsid w:val="00907F7D"/>
    <w:rsid w:val="00914EE8"/>
    <w:rsid w:val="00915E2C"/>
    <w:rsid w:val="009164B1"/>
    <w:rsid w:val="00917F5A"/>
    <w:rsid w:val="009217BB"/>
    <w:rsid w:val="0092288D"/>
    <w:rsid w:val="00923535"/>
    <w:rsid w:val="0092467E"/>
    <w:rsid w:val="009313BF"/>
    <w:rsid w:val="009324F0"/>
    <w:rsid w:val="00932E95"/>
    <w:rsid w:val="0093342F"/>
    <w:rsid w:val="00934F08"/>
    <w:rsid w:val="009357B7"/>
    <w:rsid w:val="0093703A"/>
    <w:rsid w:val="00941CC7"/>
    <w:rsid w:val="009423B9"/>
    <w:rsid w:val="00942746"/>
    <w:rsid w:val="0095338D"/>
    <w:rsid w:val="00953DB7"/>
    <w:rsid w:val="00956ADD"/>
    <w:rsid w:val="00957507"/>
    <w:rsid w:val="00957F20"/>
    <w:rsid w:val="00960583"/>
    <w:rsid w:val="009630D3"/>
    <w:rsid w:val="00964E0F"/>
    <w:rsid w:val="00967137"/>
    <w:rsid w:val="00967347"/>
    <w:rsid w:val="00967B8A"/>
    <w:rsid w:val="00967D41"/>
    <w:rsid w:val="00967FB6"/>
    <w:rsid w:val="0097048A"/>
    <w:rsid w:val="00970EAF"/>
    <w:rsid w:val="009722F1"/>
    <w:rsid w:val="00973E0B"/>
    <w:rsid w:val="00974002"/>
    <w:rsid w:val="00974208"/>
    <w:rsid w:val="0097676E"/>
    <w:rsid w:val="00980FD5"/>
    <w:rsid w:val="00983F09"/>
    <w:rsid w:val="009854D1"/>
    <w:rsid w:val="00985745"/>
    <w:rsid w:val="00986A83"/>
    <w:rsid w:val="009873A3"/>
    <w:rsid w:val="00987BF5"/>
    <w:rsid w:val="009902D1"/>
    <w:rsid w:val="00991E7E"/>
    <w:rsid w:val="00992768"/>
    <w:rsid w:val="00992C74"/>
    <w:rsid w:val="0099300C"/>
    <w:rsid w:val="009939C0"/>
    <w:rsid w:val="009A03F6"/>
    <w:rsid w:val="009A140C"/>
    <w:rsid w:val="009A2293"/>
    <w:rsid w:val="009B5885"/>
    <w:rsid w:val="009B693A"/>
    <w:rsid w:val="009B7049"/>
    <w:rsid w:val="009C041F"/>
    <w:rsid w:val="009C1CA3"/>
    <w:rsid w:val="009C3088"/>
    <w:rsid w:val="009C4345"/>
    <w:rsid w:val="009C5625"/>
    <w:rsid w:val="009C6359"/>
    <w:rsid w:val="009D2CC8"/>
    <w:rsid w:val="009D6BE3"/>
    <w:rsid w:val="009E08D2"/>
    <w:rsid w:val="009E1987"/>
    <w:rsid w:val="009E27DC"/>
    <w:rsid w:val="009E2F80"/>
    <w:rsid w:val="009E332E"/>
    <w:rsid w:val="009E3840"/>
    <w:rsid w:val="009E4380"/>
    <w:rsid w:val="009E5991"/>
    <w:rsid w:val="009E60C6"/>
    <w:rsid w:val="009E6D15"/>
    <w:rsid w:val="009E7850"/>
    <w:rsid w:val="009E7E6D"/>
    <w:rsid w:val="009F01D2"/>
    <w:rsid w:val="009F0873"/>
    <w:rsid w:val="009F0E20"/>
    <w:rsid w:val="009F3774"/>
    <w:rsid w:val="009F4DCB"/>
    <w:rsid w:val="009F4F0A"/>
    <w:rsid w:val="009F5485"/>
    <w:rsid w:val="009F6796"/>
    <w:rsid w:val="00A0069F"/>
    <w:rsid w:val="00A00DE5"/>
    <w:rsid w:val="00A06C77"/>
    <w:rsid w:val="00A115FE"/>
    <w:rsid w:val="00A1281D"/>
    <w:rsid w:val="00A1371C"/>
    <w:rsid w:val="00A15C38"/>
    <w:rsid w:val="00A179EE"/>
    <w:rsid w:val="00A2198A"/>
    <w:rsid w:val="00A2444C"/>
    <w:rsid w:val="00A25134"/>
    <w:rsid w:val="00A27650"/>
    <w:rsid w:val="00A310D1"/>
    <w:rsid w:val="00A337AB"/>
    <w:rsid w:val="00A338A5"/>
    <w:rsid w:val="00A3416D"/>
    <w:rsid w:val="00A37974"/>
    <w:rsid w:val="00A41B5C"/>
    <w:rsid w:val="00A43643"/>
    <w:rsid w:val="00A45433"/>
    <w:rsid w:val="00A46653"/>
    <w:rsid w:val="00A5281C"/>
    <w:rsid w:val="00A55630"/>
    <w:rsid w:val="00A56539"/>
    <w:rsid w:val="00A6120C"/>
    <w:rsid w:val="00A63096"/>
    <w:rsid w:val="00A63D85"/>
    <w:rsid w:val="00A66AB1"/>
    <w:rsid w:val="00A70737"/>
    <w:rsid w:val="00A723D5"/>
    <w:rsid w:val="00A72493"/>
    <w:rsid w:val="00A743D0"/>
    <w:rsid w:val="00A76CDA"/>
    <w:rsid w:val="00A80123"/>
    <w:rsid w:val="00A8165E"/>
    <w:rsid w:val="00A81CBF"/>
    <w:rsid w:val="00A86A98"/>
    <w:rsid w:val="00A90F65"/>
    <w:rsid w:val="00A96250"/>
    <w:rsid w:val="00A962A4"/>
    <w:rsid w:val="00A974D2"/>
    <w:rsid w:val="00AA051C"/>
    <w:rsid w:val="00AA352F"/>
    <w:rsid w:val="00AA54C6"/>
    <w:rsid w:val="00AA729C"/>
    <w:rsid w:val="00AA7A04"/>
    <w:rsid w:val="00AB05C5"/>
    <w:rsid w:val="00AB1BF3"/>
    <w:rsid w:val="00AB3916"/>
    <w:rsid w:val="00AB6740"/>
    <w:rsid w:val="00AB694D"/>
    <w:rsid w:val="00AC04D5"/>
    <w:rsid w:val="00AC0F61"/>
    <w:rsid w:val="00AC3C69"/>
    <w:rsid w:val="00AC666A"/>
    <w:rsid w:val="00AC7083"/>
    <w:rsid w:val="00AD42F0"/>
    <w:rsid w:val="00AD49F3"/>
    <w:rsid w:val="00AD64D3"/>
    <w:rsid w:val="00AD6D6F"/>
    <w:rsid w:val="00AE0774"/>
    <w:rsid w:val="00AE1430"/>
    <w:rsid w:val="00AE1ACA"/>
    <w:rsid w:val="00AE275D"/>
    <w:rsid w:val="00AE27B3"/>
    <w:rsid w:val="00AE46E5"/>
    <w:rsid w:val="00AE567B"/>
    <w:rsid w:val="00AE5861"/>
    <w:rsid w:val="00AE6032"/>
    <w:rsid w:val="00AE6327"/>
    <w:rsid w:val="00AF2654"/>
    <w:rsid w:val="00AF50BB"/>
    <w:rsid w:val="00AF639F"/>
    <w:rsid w:val="00B005AF"/>
    <w:rsid w:val="00B0084B"/>
    <w:rsid w:val="00B02276"/>
    <w:rsid w:val="00B06D72"/>
    <w:rsid w:val="00B071EB"/>
    <w:rsid w:val="00B07B7F"/>
    <w:rsid w:val="00B10587"/>
    <w:rsid w:val="00B1197E"/>
    <w:rsid w:val="00B135B3"/>
    <w:rsid w:val="00B148F9"/>
    <w:rsid w:val="00B16639"/>
    <w:rsid w:val="00B1791F"/>
    <w:rsid w:val="00B21A26"/>
    <w:rsid w:val="00B22400"/>
    <w:rsid w:val="00B24F84"/>
    <w:rsid w:val="00B2616F"/>
    <w:rsid w:val="00B278F4"/>
    <w:rsid w:val="00B329E1"/>
    <w:rsid w:val="00B32F24"/>
    <w:rsid w:val="00B34DFD"/>
    <w:rsid w:val="00B34E4F"/>
    <w:rsid w:val="00B36117"/>
    <w:rsid w:val="00B40264"/>
    <w:rsid w:val="00B40E85"/>
    <w:rsid w:val="00B43222"/>
    <w:rsid w:val="00B43318"/>
    <w:rsid w:val="00B43F17"/>
    <w:rsid w:val="00B4646E"/>
    <w:rsid w:val="00B46B96"/>
    <w:rsid w:val="00B4707D"/>
    <w:rsid w:val="00B4742F"/>
    <w:rsid w:val="00B474B0"/>
    <w:rsid w:val="00B47EB6"/>
    <w:rsid w:val="00B50425"/>
    <w:rsid w:val="00B506E1"/>
    <w:rsid w:val="00B514F6"/>
    <w:rsid w:val="00B51DF4"/>
    <w:rsid w:val="00B52139"/>
    <w:rsid w:val="00B52444"/>
    <w:rsid w:val="00B52485"/>
    <w:rsid w:val="00B556F2"/>
    <w:rsid w:val="00B557C3"/>
    <w:rsid w:val="00B56521"/>
    <w:rsid w:val="00B61D81"/>
    <w:rsid w:val="00B635FE"/>
    <w:rsid w:val="00B6616E"/>
    <w:rsid w:val="00B67B45"/>
    <w:rsid w:val="00B67DAD"/>
    <w:rsid w:val="00B7030F"/>
    <w:rsid w:val="00B71E90"/>
    <w:rsid w:val="00B72890"/>
    <w:rsid w:val="00B812B3"/>
    <w:rsid w:val="00B83A25"/>
    <w:rsid w:val="00B84544"/>
    <w:rsid w:val="00B85B2D"/>
    <w:rsid w:val="00B867D9"/>
    <w:rsid w:val="00B86BD8"/>
    <w:rsid w:val="00B874FF"/>
    <w:rsid w:val="00B90D1F"/>
    <w:rsid w:val="00B91440"/>
    <w:rsid w:val="00B96C0C"/>
    <w:rsid w:val="00B96E46"/>
    <w:rsid w:val="00BA14A7"/>
    <w:rsid w:val="00BA1B8B"/>
    <w:rsid w:val="00BA391A"/>
    <w:rsid w:val="00BA4357"/>
    <w:rsid w:val="00BA482F"/>
    <w:rsid w:val="00BA55C0"/>
    <w:rsid w:val="00BA697C"/>
    <w:rsid w:val="00BB5E8F"/>
    <w:rsid w:val="00BB712E"/>
    <w:rsid w:val="00BC04CC"/>
    <w:rsid w:val="00BC1F88"/>
    <w:rsid w:val="00BC2319"/>
    <w:rsid w:val="00BC3D4B"/>
    <w:rsid w:val="00BC58B1"/>
    <w:rsid w:val="00BC775C"/>
    <w:rsid w:val="00BD152A"/>
    <w:rsid w:val="00BD1616"/>
    <w:rsid w:val="00BD5769"/>
    <w:rsid w:val="00BD6167"/>
    <w:rsid w:val="00BD7C33"/>
    <w:rsid w:val="00BE255C"/>
    <w:rsid w:val="00BE4E0B"/>
    <w:rsid w:val="00BF0741"/>
    <w:rsid w:val="00BF3B94"/>
    <w:rsid w:val="00BF51F4"/>
    <w:rsid w:val="00C02E62"/>
    <w:rsid w:val="00C0391C"/>
    <w:rsid w:val="00C03CD1"/>
    <w:rsid w:val="00C03D0F"/>
    <w:rsid w:val="00C059E9"/>
    <w:rsid w:val="00C06403"/>
    <w:rsid w:val="00C079AB"/>
    <w:rsid w:val="00C13127"/>
    <w:rsid w:val="00C14862"/>
    <w:rsid w:val="00C15E65"/>
    <w:rsid w:val="00C174B7"/>
    <w:rsid w:val="00C2081C"/>
    <w:rsid w:val="00C21C07"/>
    <w:rsid w:val="00C223A4"/>
    <w:rsid w:val="00C239D2"/>
    <w:rsid w:val="00C24FD9"/>
    <w:rsid w:val="00C25B0A"/>
    <w:rsid w:val="00C26729"/>
    <w:rsid w:val="00C26D9A"/>
    <w:rsid w:val="00C3045B"/>
    <w:rsid w:val="00C32053"/>
    <w:rsid w:val="00C32387"/>
    <w:rsid w:val="00C32ADA"/>
    <w:rsid w:val="00C32E7D"/>
    <w:rsid w:val="00C32FFF"/>
    <w:rsid w:val="00C3531D"/>
    <w:rsid w:val="00C355D7"/>
    <w:rsid w:val="00C35EFC"/>
    <w:rsid w:val="00C36482"/>
    <w:rsid w:val="00C43E8B"/>
    <w:rsid w:val="00C4545D"/>
    <w:rsid w:val="00C479CE"/>
    <w:rsid w:val="00C55C20"/>
    <w:rsid w:val="00C574AE"/>
    <w:rsid w:val="00C6030B"/>
    <w:rsid w:val="00C615F4"/>
    <w:rsid w:val="00C61641"/>
    <w:rsid w:val="00C61B5D"/>
    <w:rsid w:val="00C6417A"/>
    <w:rsid w:val="00C652FE"/>
    <w:rsid w:val="00C704D3"/>
    <w:rsid w:val="00C720F8"/>
    <w:rsid w:val="00C7470B"/>
    <w:rsid w:val="00C75087"/>
    <w:rsid w:val="00C75B9F"/>
    <w:rsid w:val="00C76517"/>
    <w:rsid w:val="00C812DC"/>
    <w:rsid w:val="00C81E93"/>
    <w:rsid w:val="00C85158"/>
    <w:rsid w:val="00C8779C"/>
    <w:rsid w:val="00C87CD9"/>
    <w:rsid w:val="00CA4439"/>
    <w:rsid w:val="00CA7736"/>
    <w:rsid w:val="00CB0296"/>
    <w:rsid w:val="00CB1644"/>
    <w:rsid w:val="00CB2D68"/>
    <w:rsid w:val="00CB4569"/>
    <w:rsid w:val="00CB520D"/>
    <w:rsid w:val="00CB540A"/>
    <w:rsid w:val="00CC09B8"/>
    <w:rsid w:val="00CC1C84"/>
    <w:rsid w:val="00CC27A5"/>
    <w:rsid w:val="00CC6EA9"/>
    <w:rsid w:val="00CC7A8F"/>
    <w:rsid w:val="00CD1D7D"/>
    <w:rsid w:val="00CD24D5"/>
    <w:rsid w:val="00CD5AB6"/>
    <w:rsid w:val="00CD6087"/>
    <w:rsid w:val="00CD7660"/>
    <w:rsid w:val="00CD7698"/>
    <w:rsid w:val="00CD7E26"/>
    <w:rsid w:val="00CE0821"/>
    <w:rsid w:val="00CE2282"/>
    <w:rsid w:val="00CE27BF"/>
    <w:rsid w:val="00CE3DCB"/>
    <w:rsid w:val="00CE4C97"/>
    <w:rsid w:val="00CE52C5"/>
    <w:rsid w:val="00CE5F97"/>
    <w:rsid w:val="00CE664B"/>
    <w:rsid w:val="00CE7378"/>
    <w:rsid w:val="00CE7B02"/>
    <w:rsid w:val="00CF1798"/>
    <w:rsid w:val="00CF21D1"/>
    <w:rsid w:val="00CF22C5"/>
    <w:rsid w:val="00CF3A9E"/>
    <w:rsid w:val="00CF50C9"/>
    <w:rsid w:val="00D00342"/>
    <w:rsid w:val="00D004AC"/>
    <w:rsid w:val="00D0081A"/>
    <w:rsid w:val="00D00DC5"/>
    <w:rsid w:val="00D01270"/>
    <w:rsid w:val="00D01AF8"/>
    <w:rsid w:val="00D03689"/>
    <w:rsid w:val="00D03A69"/>
    <w:rsid w:val="00D041E8"/>
    <w:rsid w:val="00D04E14"/>
    <w:rsid w:val="00D058B2"/>
    <w:rsid w:val="00D11D61"/>
    <w:rsid w:val="00D12B16"/>
    <w:rsid w:val="00D13D5F"/>
    <w:rsid w:val="00D13E8F"/>
    <w:rsid w:val="00D1464F"/>
    <w:rsid w:val="00D146B6"/>
    <w:rsid w:val="00D1650D"/>
    <w:rsid w:val="00D20C03"/>
    <w:rsid w:val="00D21BD6"/>
    <w:rsid w:val="00D2335E"/>
    <w:rsid w:val="00D24ABE"/>
    <w:rsid w:val="00D24B5B"/>
    <w:rsid w:val="00D27B35"/>
    <w:rsid w:val="00D27E1C"/>
    <w:rsid w:val="00D3402A"/>
    <w:rsid w:val="00D345F2"/>
    <w:rsid w:val="00D35606"/>
    <w:rsid w:val="00D36FB7"/>
    <w:rsid w:val="00D43DB1"/>
    <w:rsid w:val="00D46EAE"/>
    <w:rsid w:val="00D501D9"/>
    <w:rsid w:val="00D50E40"/>
    <w:rsid w:val="00D510BC"/>
    <w:rsid w:val="00D51308"/>
    <w:rsid w:val="00D5310B"/>
    <w:rsid w:val="00D5324F"/>
    <w:rsid w:val="00D54549"/>
    <w:rsid w:val="00D55B37"/>
    <w:rsid w:val="00D61912"/>
    <w:rsid w:val="00D65157"/>
    <w:rsid w:val="00D6540C"/>
    <w:rsid w:val="00D665D7"/>
    <w:rsid w:val="00D7160B"/>
    <w:rsid w:val="00D71F47"/>
    <w:rsid w:val="00D730E8"/>
    <w:rsid w:val="00D75178"/>
    <w:rsid w:val="00D75714"/>
    <w:rsid w:val="00D76499"/>
    <w:rsid w:val="00D77BBC"/>
    <w:rsid w:val="00D80CA5"/>
    <w:rsid w:val="00D83D76"/>
    <w:rsid w:val="00D844B6"/>
    <w:rsid w:val="00D8544C"/>
    <w:rsid w:val="00D856FA"/>
    <w:rsid w:val="00D86331"/>
    <w:rsid w:val="00D86EBA"/>
    <w:rsid w:val="00D90345"/>
    <w:rsid w:val="00D9056A"/>
    <w:rsid w:val="00D90683"/>
    <w:rsid w:val="00D912A0"/>
    <w:rsid w:val="00D91865"/>
    <w:rsid w:val="00D9275C"/>
    <w:rsid w:val="00DA1502"/>
    <w:rsid w:val="00DA1DC5"/>
    <w:rsid w:val="00DA20FA"/>
    <w:rsid w:val="00DA2BC6"/>
    <w:rsid w:val="00DA46B9"/>
    <w:rsid w:val="00DA4E16"/>
    <w:rsid w:val="00DA5899"/>
    <w:rsid w:val="00DA5E4B"/>
    <w:rsid w:val="00DB25F6"/>
    <w:rsid w:val="00DB535E"/>
    <w:rsid w:val="00DB6C03"/>
    <w:rsid w:val="00DB7062"/>
    <w:rsid w:val="00DC0D77"/>
    <w:rsid w:val="00DC2EFC"/>
    <w:rsid w:val="00DC3BE6"/>
    <w:rsid w:val="00DC40B1"/>
    <w:rsid w:val="00DC55E5"/>
    <w:rsid w:val="00DC6D85"/>
    <w:rsid w:val="00DC74F5"/>
    <w:rsid w:val="00DD0500"/>
    <w:rsid w:val="00DD05C6"/>
    <w:rsid w:val="00DD1D64"/>
    <w:rsid w:val="00DD5D4E"/>
    <w:rsid w:val="00DD79CB"/>
    <w:rsid w:val="00DE510B"/>
    <w:rsid w:val="00DE56DD"/>
    <w:rsid w:val="00DE581F"/>
    <w:rsid w:val="00DE7390"/>
    <w:rsid w:val="00DF113E"/>
    <w:rsid w:val="00DF192E"/>
    <w:rsid w:val="00DF217E"/>
    <w:rsid w:val="00DF395E"/>
    <w:rsid w:val="00DF45D1"/>
    <w:rsid w:val="00E006A0"/>
    <w:rsid w:val="00E01B14"/>
    <w:rsid w:val="00E01DAC"/>
    <w:rsid w:val="00E03092"/>
    <w:rsid w:val="00E03CAC"/>
    <w:rsid w:val="00E04671"/>
    <w:rsid w:val="00E05174"/>
    <w:rsid w:val="00E06037"/>
    <w:rsid w:val="00E06B79"/>
    <w:rsid w:val="00E12215"/>
    <w:rsid w:val="00E12B1B"/>
    <w:rsid w:val="00E13EDF"/>
    <w:rsid w:val="00E1680E"/>
    <w:rsid w:val="00E2362B"/>
    <w:rsid w:val="00E237D9"/>
    <w:rsid w:val="00E244AD"/>
    <w:rsid w:val="00E250FD"/>
    <w:rsid w:val="00E27612"/>
    <w:rsid w:val="00E318EA"/>
    <w:rsid w:val="00E31E20"/>
    <w:rsid w:val="00E320FB"/>
    <w:rsid w:val="00E32C63"/>
    <w:rsid w:val="00E349A6"/>
    <w:rsid w:val="00E349B8"/>
    <w:rsid w:val="00E349CE"/>
    <w:rsid w:val="00E34FEB"/>
    <w:rsid w:val="00E37457"/>
    <w:rsid w:val="00E3761D"/>
    <w:rsid w:val="00E4200B"/>
    <w:rsid w:val="00E4290C"/>
    <w:rsid w:val="00E449E2"/>
    <w:rsid w:val="00E44AC4"/>
    <w:rsid w:val="00E45334"/>
    <w:rsid w:val="00E45439"/>
    <w:rsid w:val="00E52E8A"/>
    <w:rsid w:val="00E53CA3"/>
    <w:rsid w:val="00E553F4"/>
    <w:rsid w:val="00E625AA"/>
    <w:rsid w:val="00E633ED"/>
    <w:rsid w:val="00E63EBE"/>
    <w:rsid w:val="00E66986"/>
    <w:rsid w:val="00E66C2B"/>
    <w:rsid w:val="00E66DFD"/>
    <w:rsid w:val="00E67F3B"/>
    <w:rsid w:val="00E700BE"/>
    <w:rsid w:val="00E720F6"/>
    <w:rsid w:val="00E72F41"/>
    <w:rsid w:val="00E7322C"/>
    <w:rsid w:val="00E73982"/>
    <w:rsid w:val="00E74542"/>
    <w:rsid w:val="00E75566"/>
    <w:rsid w:val="00E76481"/>
    <w:rsid w:val="00E838B0"/>
    <w:rsid w:val="00E85463"/>
    <w:rsid w:val="00E91B19"/>
    <w:rsid w:val="00E926DE"/>
    <w:rsid w:val="00E94FE9"/>
    <w:rsid w:val="00E9516B"/>
    <w:rsid w:val="00EA1FA4"/>
    <w:rsid w:val="00EA2A03"/>
    <w:rsid w:val="00EA3337"/>
    <w:rsid w:val="00EA68EF"/>
    <w:rsid w:val="00EB35F7"/>
    <w:rsid w:val="00EB58B6"/>
    <w:rsid w:val="00EB5AC4"/>
    <w:rsid w:val="00EC575D"/>
    <w:rsid w:val="00EC5C2B"/>
    <w:rsid w:val="00ED08CD"/>
    <w:rsid w:val="00ED2558"/>
    <w:rsid w:val="00ED4670"/>
    <w:rsid w:val="00ED4B1F"/>
    <w:rsid w:val="00ED78E2"/>
    <w:rsid w:val="00EE11DC"/>
    <w:rsid w:val="00EE29E9"/>
    <w:rsid w:val="00EE2CFC"/>
    <w:rsid w:val="00EE3A2A"/>
    <w:rsid w:val="00EE3F92"/>
    <w:rsid w:val="00EE5E8B"/>
    <w:rsid w:val="00EE6E70"/>
    <w:rsid w:val="00EF29AA"/>
    <w:rsid w:val="00EF36AD"/>
    <w:rsid w:val="00EF74B9"/>
    <w:rsid w:val="00F00D54"/>
    <w:rsid w:val="00F00F2B"/>
    <w:rsid w:val="00F0464C"/>
    <w:rsid w:val="00F066B4"/>
    <w:rsid w:val="00F101D9"/>
    <w:rsid w:val="00F10774"/>
    <w:rsid w:val="00F11BC7"/>
    <w:rsid w:val="00F1276F"/>
    <w:rsid w:val="00F13348"/>
    <w:rsid w:val="00F14B49"/>
    <w:rsid w:val="00F14E49"/>
    <w:rsid w:val="00F15101"/>
    <w:rsid w:val="00F15C2A"/>
    <w:rsid w:val="00F17810"/>
    <w:rsid w:val="00F22BB7"/>
    <w:rsid w:val="00F24393"/>
    <w:rsid w:val="00F26433"/>
    <w:rsid w:val="00F33B01"/>
    <w:rsid w:val="00F33FDD"/>
    <w:rsid w:val="00F34CB9"/>
    <w:rsid w:val="00F34CFA"/>
    <w:rsid w:val="00F35C5F"/>
    <w:rsid w:val="00F36B4A"/>
    <w:rsid w:val="00F40295"/>
    <w:rsid w:val="00F410B5"/>
    <w:rsid w:val="00F428A1"/>
    <w:rsid w:val="00F4499B"/>
    <w:rsid w:val="00F44C98"/>
    <w:rsid w:val="00F46249"/>
    <w:rsid w:val="00F4693E"/>
    <w:rsid w:val="00F47055"/>
    <w:rsid w:val="00F474D9"/>
    <w:rsid w:val="00F5134D"/>
    <w:rsid w:val="00F5292A"/>
    <w:rsid w:val="00F52AE8"/>
    <w:rsid w:val="00F55F8D"/>
    <w:rsid w:val="00F5635F"/>
    <w:rsid w:val="00F575FD"/>
    <w:rsid w:val="00F61408"/>
    <w:rsid w:val="00F63B1B"/>
    <w:rsid w:val="00F63B7E"/>
    <w:rsid w:val="00F64731"/>
    <w:rsid w:val="00F6522C"/>
    <w:rsid w:val="00F70B01"/>
    <w:rsid w:val="00F74A6D"/>
    <w:rsid w:val="00F74DF2"/>
    <w:rsid w:val="00F816E3"/>
    <w:rsid w:val="00F8214E"/>
    <w:rsid w:val="00F85535"/>
    <w:rsid w:val="00F909F2"/>
    <w:rsid w:val="00F9531D"/>
    <w:rsid w:val="00F96A2A"/>
    <w:rsid w:val="00F96D73"/>
    <w:rsid w:val="00FA1796"/>
    <w:rsid w:val="00FA1F4A"/>
    <w:rsid w:val="00FA3F74"/>
    <w:rsid w:val="00FA4046"/>
    <w:rsid w:val="00FA592B"/>
    <w:rsid w:val="00FB0F38"/>
    <w:rsid w:val="00FB3A22"/>
    <w:rsid w:val="00FB4B70"/>
    <w:rsid w:val="00FB5089"/>
    <w:rsid w:val="00FB6D52"/>
    <w:rsid w:val="00FC1273"/>
    <w:rsid w:val="00FC1555"/>
    <w:rsid w:val="00FC4145"/>
    <w:rsid w:val="00FC4604"/>
    <w:rsid w:val="00FC4F7F"/>
    <w:rsid w:val="00FC7F1A"/>
    <w:rsid w:val="00FD0760"/>
    <w:rsid w:val="00FD2D21"/>
    <w:rsid w:val="00FD32C4"/>
    <w:rsid w:val="00FD7FD9"/>
    <w:rsid w:val="00FE1712"/>
    <w:rsid w:val="00FE1DB8"/>
    <w:rsid w:val="00FE6565"/>
    <w:rsid w:val="00FE6D17"/>
    <w:rsid w:val="00FF1422"/>
    <w:rsid w:val="00FF1A78"/>
    <w:rsid w:val="00FF3013"/>
    <w:rsid w:val="00FF3C9B"/>
    <w:rsid w:val="00FF5754"/>
    <w:rsid w:val="00FF5B31"/>
    <w:rsid w:val="00FF64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58ECA2"/>
  <w15:docId w15:val="{5977031C-5C99-451A-AFF2-21D9D9264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Theme="minorEastAsia" w:hAnsi="Myriad Pro" w:cstheme="minorBidi"/>
        <w:sz w:val="24"/>
        <w:szCs w:val="24"/>
        <w:lang w:val="en-GB" w:eastAsia="en-US" w:bidi="ar-SA"/>
      </w:rPr>
    </w:rPrDefault>
    <w:pPrDefault/>
  </w:docDefaults>
  <w:latentStyles w:defLockedState="0" w:defUIPriority="99" w:defSemiHidden="0" w:defUnhideWhenUsed="0" w:defQFormat="0" w:count="376">
    <w:lsdException w:name="Normal" w:uiPriority="9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qFormat/>
    <w:rsid w:val="007B1514"/>
    <w:pPr>
      <w:spacing w:before="40" w:after="120" w:line="260" w:lineRule="atLeast"/>
    </w:pPr>
    <w:rPr>
      <w:rFonts w:ascii="Arial" w:hAnsi="Arial"/>
      <w:sz w:val="20"/>
      <w:lang w:val="nl-NL"/>
    </w:rPr>
  </w:style>
  <w:style w:type="paragraph" w:styleId="Heading1">
    <w:name w:val="heading 1"/>
    <w:next w:val="Normal"/>
    <w:link w:val="Heading1Char"/>
    <w:uiPriority w:val="9"/>
    <w:qFormat/>
    <w:rsid w:val="00C03CD1"/>
    <w:pPr>
      <w:keepNext/>
      <w:keepLines/>
      <w:numPr>
        <w:numId w:val="3"/>
      </w:numPr>
      <w:spacing w:before="640" w:after="400"/>
      <w:outlineLvl w:val="0"/>
    </w:pPr>
    <w:rPr>
      <w:rFonts w:ascii="Arial" w:eastAsiaTheme="majorEastAsia" w:hAnsi="Arial" w:cstheme="majorBidi"/>
      <w:b/>
      <w:bCs/>
      <w:color w:val="7C2855"/>
      <w:sz w:val="32"/>
      <w:szCs w:val="32"/>
      <w:lang w:val="nl-NL"/>
    </w:rPr>
  </w:style>
  <w:style w:type="paragraph" w:styleId="Heading2">
    <w:name w:val="heading 2"/>
    <w:next w:val="Normal"/>
    <w:link w:val="Heading2Char"/>
    <w:uiPriority w:val="9"/>
    <w:unhideWhenUsed/>
    <w:qFormat/>
    <w:rsid w:val="00186A6E"/>
    <w:pPr>
      <w:keepNext/>
      <w:keepLines/>
      <w:numPr>
        <w:ilvl w:val="1"/>
        <w:numId w:val="3"/>
      </w:numPr>
      <w:spacing w:before="360" w:after="240"/>
      <w:outlineLvl w:val="1"/>
    </w:pPr>
    <w:rPr>
      <w:rFonts w:ascii="Arial" w:eastAsiaTheme="majorEastAsia" w:hAnsi="Arial" w:cstheme="majorBidi"/>
      <w:bCs/>
      <w:color w:val="E60036"/>
      <w:sz w:val="26"/>
      <w:szCs w:val="26"/>
      <w:lang w:val="nl-NL"/>
    </w:rPr>
  </w:style>
  <w:style w:type="paragraph" w:styleId="Heading3">
    <w:name w:val="heading 3"/>
    <w:basedOn w:val="Normal"/>
    <w:next w:val="Normal"/>
    <w:link w:val="Heading3Char"/>
    <w:uiPriority w:val="9"/>
    <w:unhideWhenUsed/>
    <w:qFormat/>
    <w:rsid w:val="00C03CD1"/>
    <w:pPr>
      <w:keepNext/>
      <w:keepLines/>
      <w:numPr>
        <w:ilvl w:val="2"/>
        <w:numId w:val="3"/>
      </w:numPr>
      <w:spacing w:before="240"/>
      <w:outlineLvl w:val="2"/>
    </w:pPr>
    <w:rPr>
      <w:rFonts w:eastAsiaTheme="majorEastAsia" w:cstheme="majorBidi"/>
      <w:b/>
      <w:bCs/>
      <w:color w:val="7C2855"/>
    </w:rPr>
  </w:style>
  <w:style w:type="paragraph" w:styleId="Heading4">
    <w:name w:val="heading 4"/>
    <w:basedOn w:val="Normal"/>
    <w:next w:val="Normal"/>
    <w:link w:val="Heading4Char"/>
    <w:uiPriority w:val="9"/>
    <w:unhideWhenUsed/>
    <w:qFormat/>
    <w:rsid w:val="00C03CD1"/>
    <w:pPr>
      <w:keepNext/>
      <w:keepLines/>
      <w:numPr>
        <w:ilvl w:val="3"/>
        <w:numId w:val="3"/>
      </w:numPr>
      <w:spacing w:after="0"/>
      <w:outlineLvl w:val="3"/>
    </w:pPr>
    <w:rPr>
      <w:rFonts w:eastAsiaTheme="majorEastAsia" w:cstheme="majorBidi"/>
      <w:color w:val="5C1E3F" w:themeColor="accent1" w:themeShade="BF"/>
    </w:rPr>
  </w:style>
  <w:style w:type="paragraph" w:styleId="Heading5">
    <w:name w:val="heading 5"/>
    <w:basedOn w:val="Normal"/>
    <w:next w:val="Normal"/>
    <w:link w:val="Heading5Char"/>
    <w:uiPriority w:val="9"/>
    <w:unhideWhenUsed/>
    <w:qFormat/>
    <w:rsid w:val="00C03CD1"/>
    <w:pPr>
      <w:keepNext/>
      <w:keepLines/>
      <w:spacing w:after="0"/>
      <w:outlineLvl w:val="4"/>
    </w:pPr>
    <w:rPr>
      <w:rFonts w:asciiTheme="majorHAnsi" w:eastAsiaTheme="majorEastAsia" w:hAnsiTheme="majorHAnsi" w:cstheme="majorBidi"/>
      <w:color w:val="DC4405"/>
    </w:rPr>
  </w:style>
  <w:style w:type="paragraph" w:styleId="Heading6">
    <w:name w:val="heading 6"/>
    <w:basedOn w:val="Normal"/>
    <w:next w:val="Normal"/>
    <w:link w:val="Heading6Char"/>
    <w:uiPriority w:val="9"/>
    <w:unhideWhenUsed/>
    <w:qFormat/>
    <w:rsid w:val="00DA5E4B"/>
    <w:pPr>
      <w:shd w:val="clear" w:color="auto" w:fill="FFFFFF"/>
      <w:spacing w:before="120" w:after="0" w:line="271" w:lineRule="auto"/>
      <w:ind w:left="851" w:hanging="851"/>
      <w:jc w:val="both"/>
      <w:outlineLvl w:val="5"/>
    </w:pPr>
    <w:rPr>
      <w:rFonts w:eastAsia="Calibri" w:cs="Times New Roman"/>
      <w:b/>
      <w:bCs/>
      <w:color w:val="595959"/>
      <w:spacing w:val="5"/>
      <w:sz w:val="22"/>
      <w:szCs w:val="22"/>
      <w:lang w:val="nl-BE"/>
    </w:rPr>
  </w:style>
  <w:style w:type="paragraph" w:styleId="Heading7">
    <w:name w:val="heading 7"/>
    <w:basedOn w:val="Normal"/>
    <w:next w:val="Normal"/>
    <w:link w:val="Heading7Char"/>
    <w:uiPriority w:val="9"/>
    <w:unhideWhenUsed/>
    <w:qFormat/>
    <w:rsid w:val="00DA5E4B"/>
    <w:pPr>
      <w:spacing w:before="120" w:after="0" w:line="276" w:lineRule="auto"/>
      <w:ind w:left="851" w:hanging="851"/>
      <w:jc w:val="both"/>
      <w:outlineLvl w:val="6"/>
    </w:pPr>
    <w:rPr>
      <w:rFonts w:eastAsia="Calibri" w:cs="Times New Roman"/>
      <w:b/>
      <w:bCs/>
      <w:i/>
      <w:iCs/>
      <w:color w:val="5A5A5A"/>
      <w:sz w:val="16"/>
      <w:szCs w:val="20"/>
      <w:lang w:val="nl-BE"/>
    </w:rPr>
  </w:style>
  <w:style w:type="paragraph" w:styleId="Heading8">
    <w:name w:val="heading 8"/>
    <w:basedOn w:val="Normal"/>
    <w:next w:val="Normal"/>
    <w:link w:val="Heading8Char"/>
    <w:uiPriority w:val="9"/>
    <w:unhideWhenUsed/>
    <w:qFormat/>
    <w:rsid w:val="00DA5E4B"/>
    <w:pPr>
      <w:spacing w:before="120" w:after="0" w:line="276" w:lineRule="auto"/>
      <w:ind w:left="851" w:hanging="851"/>
      <w:jc w:val="both"/>
      <w:outlineLvl w:val="7"/>
    </w:pPr>
    <w:rPr>
      <w:rFonts w:eastAsia="Calibri" w:cs="Times New Roman"/>
      <w:b/>
      <w:bCs/>
      <w:color w:val="7F7F7F"/>
      <w:sz w:val="16"/>
      <w:szCs w:val="20"/>
      <w:lang w:val="nl-BE"/>
    </w:rPr>
  </w:style>
  <w:style w:type="paragraph" w:styleId="Heading9">
    <w:name w:val="heading 9"/>
    <w:basedOn w:val="Normal"/>
    <w:next w:val="Normal"/>
    <w:link w:val="Heading9Char"/>
    <w:uiPriority w:val="9"/>
    <w:unhideWhenUsed/>
    <w:qFormat/>
    <w:rsid w:val="00DA5E4B"/>
    <w:pPr>
      <w:spacing w:before="120" w:after="0" w:line="271" w:lineRule="auto"/>
      <w:ind w:left="851" w:hanging="851"/>
      <w:jc w:val="both"/>
      <w:outlineLvl w:val="8"/>
    </w:pPr>
    <w:rPr>
      <w:rFonts w:eastAsia="Calibri" w:cs="Times New Roman"/>
      <w:b/>
      <w:bCs/>
      <w:i/>
      <w:iCs/>
      <w:color w:val="7F7F7F"/>
      <w:sz w:val="16"/>
      <w:szCs w:val="18"/>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FollowedHyperlink"/>
    <w:uiPriority w:val="99"/>
    <w:unhideWhenUsed/>
    <w:rsid w:val="00801A40"/>
    <w:rPr>
      <w:color w:val="7C2855"/>
      <w:u w:val="single" w:color="7C2855"/>
    </w:rPr>
  </w:style>
  <w:style w:type="character" w:styleId="FollowedHyperlink">
    <w:name w:val="FollowedHyperlink"/>
    <w:basedOn w:val="DefaultParagraphFont"/>
    <w:uiPriority w:val="99"/>
    <w:semiHidden/>
    <w:unhideWhenUsed/>
    <w:rsid w:val="00992768"/>
    <w:rPr>
      <w:color w:val="7C2855" w:themeColor="followedHyperlink"/>
      <w:u w:val="single"/>
    </w:rPr>
  </w:style>
  <w:style w:type="table" w:styleId="TableGrid">
    <w:name w:val="Table Grid"/>
    <w:aliases w:val="sdworx table 1"/>
    <w:basedOn w:val="TableNormal"/>
    <w:rsid w:val="003A277C"/>
    <w:pPr>
      <w:spacing w:before="80" w:after="80"/>
      <w:jc w:val="right"/>
    </w:pPr>
    <w:rPr>
      <w:rFonts w:ascii="Arial" w:hAnsi="Arial"/>
      <w:color w:val="75787B"/>
      <w:sz w:val="20"/>
    </w:rPr>
    <w:tblPr>
      <w:tblBorders>
        <w:insideH w:val="single" w:sz="4" w:space="0" w:color="7C2855"/>
        <w:insideV w:val="single" w:sz="4" w:space="0" w:color="7C2855"/>
      </w:tblBorders>
    </w:tblPr>
    <w:tcPr>
      <w:vAlign w:val="center"/>
    </w:tcPr>
    <w:tblStylePr w:type="firstRow">
      <w:rPr>
        <w:rFonts w:ascii="Arial" w:hAnsi="Arial"/>
        <w:b/>
        <w:color w:val="7C2855"/>
        <w:sz w:val="22"/>
      </w:rPr>
      <w:tblPr/>
      <w:tcPr>
        <w:tcBorders>
          <w:top w:val="nil"/>
          <w:left w:val="nil"/>
          <w:bottom w:val="single" w:sz="2" w:space="0" w:color="7C2855"/>
          <w:right w:val="nil"/>
        </w:tcBorders>
      </w:tcPr>
    </w:tblStylePr>
    <w:tblStylePr w:type="lastRow">
      <w:rPr>
        <w:b/>
        <w:color w:val="C8C9C7" w:themeColor="background1"/>
      </w:rPr>
      <w:tblPr/>
      <w:tcPr>
        <w:tcBorders>
          <w:insideH w:val="nil"/>
          <w:insideV w:val="single" w:sz="4" w:space="0" w:color="C8C9C7" w:themeColor="background1"/>
        </w:tcBorders>
        <w:shd w:val="clear" w:color="auto" w:fill="7C2855"/>
      </w:tcPr>
    </w:tblStylePr>
    <w:tblStylePr w:type="firstCol">
      <w:pPr>
        <w:jc w:val="left"/>
      </w:pPr>
    </w:tblStylePr>
  </w:style>
  <w:style w:type="paragraph" w:customStyle="1" w:styleId="Titeltekst">
    <w:name w:val="Titel tekst"/>
    <w:uiPriority w:val="59"/>
    <w:qFormat/>
    <w:rsid w:val="00B10587"/>
    <w:pPr>
      <w:framePr w:hSpace="181" w:wrap="around" w:vAnchor="page" w:hAnchor="page" w:x="4701" w:y="6238"/>
      <w:spacing w:after="284"/>
    </w:pPr>
    <w:rPr>
      <w:rFonts w:ascii="Arial" w:hAnsi="Arial"/>
      <w:color w:val="75787B"/>
      <w:sz w:val="28"/>
      <w:szCs w:val="28"/>
      <w:lang w:val="nl-NL"/>
    </w:rPr>
  </w:style>
  <w:style w:type="paragraph" w:customStyle="1" w:styleId="TItelvanhetdocument">
    <w:name w:val="TItel van het document"/>
    <w:next w:val="Normal"/>
    <w:uiPriority w:val="58"/>
    <w:qFormat/>
    <w:rsid w:val="00B10587"/>
    <w:pPr>
      <w:framePr w:hSpace="181" w:wrap="around" w:vAnchor="page" w:hAnchor="page" w:x="4701" w:y="6238"/>
      <w:pBdr>
        <w:bottom w:val="single" w:sz="4" w:space="9" w:color="404040"/>
      </w:pBdr>
      <w:spacing w:after="170"/>
    </w:pPr>
    <w:rPr>
      <w:rFonts w:ascii="Arial" w:hAnsi="Arial"/>
      <w:color w:val="75787B"/>
      <w:sz w:val="60"/>
      <w:szCs w:val="60"/>
      <w:lang w:val="nl-NL"/>
    </w:rPr>
  </w:style>
  <w:style w:type="character" w:customStyle="1" w:styleId="Heading1Char">
    <w:name w:val="Heading 1 Char"/>
    <w:basedOn w:val="DefaultParagraphFont"/>
    <w:link w:val="Heading1"/>
    <w:uiPriority w:val="9"/>
    <w:rsid w:val="00C03CD1"/>
    <w:rPr>
      <w:rFonts w:ascii="Arial" w:eastAsiaTheme="majorEastAsia" w:hAnsi="Arial" w:cstheme="majorBidi"/>
      <w:b/>
      <w:bCs/>
      <w:color w:val="7C2855"/>
      <w:sz w:val="32"/>
      <w:szCs w:val="32"/>
      <w:lang w:val="nl-NL"/>
    </w:rPr>
  </w:style>
  <w:style w:type="character" w:customStyle="1" w:styleId="Heading2Char">
    <w:name w:val="Heading 2 Char"/>
    <w:basedOn w:val="DefaultParagraphFont"/>
    <w:link w:val="Heading2"/>
    <w:uiPriority w:val="9"/>
    <w:rsid w:val="00186A6E"/>
    <w:rPr>
      <w:rFonts w:ascii="Arial" w:eastAsiaTheme="majorEastAsia" w:hAnsi="Arial" w:cstheme="majorBidi"/>
      <w:bCs/>
      <w:color w:val="E60036"/>
      <w:sz w:val="26"/>
      <w:szCs w:val="26"/>
      <w:lang w:val="nl-NL"/>
    </w:rPr>
  </w:style>
  <w:style w:type="table" w:styleId="LightList">
    <w:name w:val="Light List"/>
    <w:aliases w:val="sdworx table 3"/>
    <w:basedOn w:val="TableNormal"/>
    <w:uiPriority w:val="61"/>
    <w:rsid w:val="00276455"/>
    <w:pPr>
      <w:spacing w:before="80" w:after="80"/>
      <w:jc w:val="right"/>
    </w:pPr>
    <w:rPr>
      <w:rFonts w:ascii="Arial" w:hAnsi="Arial"/>
      <w:color w:val="97999C" w:themeColor="text1" w:themeTint="BF"/>
      <w:sz w:val="20"/>
    </w:rPr>
    <w:tblPr>
      <w:tblStyleRowBandSize w:val="1"/>
      <w:tblStyleColBandSize w:val="1"/>
      <w:tblBorders>
        <w:top w:val="single" w:sz="4" w:space="0" w:color="7C2855"/>
        <w:left w:val="single" w:sz="4" w:space="0" w:color="7C2855"/>
        <w:bottom w:val="single" w:sz="4" w:space="0" w:color="7C2855"/>
        <w:right w:val="single" w:sz="4" w:space="0" w:color="7C2855"/>
        <w:insideH w:val="single" w:sz="4" w:space="0" w:color="7C2855"/>
        <w:insideV w:val="single" w:sz="4" w:space="0" w:color="7C2855"/>
      </w:tblBorders>
    </w:tblPr>
    <w:tcPr>
      <w:vAlign w:val="center"/>
    </w:tcPr>
    <w:tblStylePr w:type="firstRow">
      <w:pPr>
        <w:wordWrap/>
        <w:spacing w:beforeLines="30" w:before="30" w:beforeAutospacing="0" w:afterLines="30" w:after="30" w:afterAutospacing="0" w:line="240" w:lineRule="auto"/>
      </w:pPr>
      <w:rPr>
        <w:b/>
        <w:bCs/>
        <w:color w:val="7C2855"/>
      </w:rPr>
      <w:tblPr/>
      <w:tcPr>
        <w:tcBorders>
          <w:insideH w:val="single" w:sz="4" w:space="0" w:color="7C2855"/>
          <w:insideV w:val="single" w:sz="4" w:space="0" w:color="7C2855"/>
        </w:tcBorders>
      </w:tcPr>
    </w:tblStylePr>
    <w:tblStylePr w:type="lastRow">
      <w:pPr>
        <w:wordWrap/>
        <w:spacing w:beforeLines="0" w:before="80" w:beforeAutospacing="0" w:afterLines="0" w:after="80" w:afterAutospacing="0" w:line="240" w:lineRule="auto"/>
      </w:pPr>
      <w:rPr>
        <w:b/>
        <w:bCs/>
        <w:i w:val="0"/>
      </w:rPr>
      <w:tblPr/>
      <w:tcPr>
        <w:shd w:val="clear" w:color="auto" w:fill="DCDCDC"/>
      </w:tcPr>
    </w:tblStylePr>
    <w:tblStylePr w:type="firstCol">
      <w:pPr>
        <w:jc w:val="left"/>
      </w:pPr>
      <w:rPr>
        <w:b w:val="0"/>
        <w:bCs/>
      </w:rPr>
      <w:tblPr/>
      <w:tcPr>
        <w:tcBorders>
          <w:top w:val="nil"/>
          <w:left w:val="nil"/>
          <w:bottom w:val="nil"/>
          <w:right w:val="single" w:sz="4" w:space="0" w:color="97999C" w:themeColor="text1" w:themeTint="BF"/>
          <w:insideH w:val="nil"/>
          <w:insideV w:val="nil"/>
          <w:tl2br w:val="nil"/>
          <w:tr2bl w:val="nil"/>
        </w:tcBorders>
      </w:tcPr>
    </w:tblStylePr>
    <w:tblStylePr w:type="lastCol">
      <w:rPr>
        <w:b w:val="0"/>
        <w:bCs/>
      </w:rPr>
      <w:tblPr/>
      <w:tcPr>
        <w:tcBorders>
          <w:top w:val="single" w:sz="4" w:space="0" w:color="97999C" w:themeColor="text1" w:themeTint="BF"/>
          <w:left w:val="single" w:sz="4" w:space="0" w:color="97999C" w:themeColor="text1" w:themeTint="BF"/>
          <w:bottom w:val="single" w:sz="4" w:space="0" w:color="97999C" w:themeColor="text1" w:themeTint="BF"/>
          <w:right w:val="nil"/>
          <w:insideH w:val="single" w:sz="4" w:space="0" w:color="97999C" w:themeColor="text1" w:themeTint="BF"/>
          <w:insideV w:val="single" w:sz="4" w:space="0" w:color="97999C" w:themeColor="text1" w:themeTint="BF"/>
          <w:tl2br w:val="nil"/>
          <w:tr2bl w:val="nil"/>
        </w:tcBorders>
      </w:tcPr>
    </w:tblStylePr>
    <w:tblStylePr w:type="band1Vert">
      <w:tblPr/>
      <w:tcPr>
        <w:tcBorders>
          <w:top w:val="nil"/>
          <w:left w:val="nil"/>
          <w:bottom w:val="nil"/>
          <w:right w:val="single" w:sz="4" w:space="0" w:color="97999C" w:themeColor="text1" w:themeTint="BF"/>
          <w:insideH w:val="nil"/>
          <w:insideV w:val="nil"/>
          <w:tl2br w:val="nil"/>
          <w:tr2bl w:val="nil"/>
        </w:tcBorders>
      </w:tcPr>
    </w:tblStylePr>
    <w:tblStylePr w:type="band2Vert">
      <w:tblPr/>
      <w:tcPr>
        <w:tcBorders>
          <w:top w:val="nil"/>
          <w:left w:val="nil"/>
          <w:bottom w:val="nil"/>
          <w:right w:val="single" w:sz="4" w:space="0" w:color="97999C" w:themeColor="text1" w:themeTint="BF"/>
          <w:insideH w:val="nil"/>
          <w:insideV w:val="nil"/>
          <w:tl2br w:val="nil"/>
          <w:tr2bl w:val="nil"/>
        </w:tcBorders>
      </w:tcPr>
    </w:tblStylePr>
    <w:tblStylePr w:type="band1Horz">
      <w:tblPr/>
      <w:tcPr>
        <w:tcBorders>
          <w:top w:val="single" w:sz="4" w:space="0" w:color="97999C" w:themeColor="text1" w:themeTint="BF"/>
          <w:left w:val="single" w:sz="4" w:space="0" w:color="97999C" w:themeColor="text1" w:themeTint="BF"/>
          <w:bottom w:val="single" w:sz="4" w:space="0" w:color="97999C" w:themeColor="text1" w:themeTint="BF"/>
          <w:right w:val="single" w:sz="4" w:space="0" w:color="97999C" w:themeColor="text1" w:themeTint="BF"/>
          <w:insideH w:val="single" w:sz="4" w:space="0" w:color="97999C" w:themeColor="text1" w:themeTint="BF"/>
          <w:insideV w:val="single" w:sz="4" w:space="0" w:color="97999C" w:themeColor="text1" w:themeTint="BF"/>
          <w:tl2br w:val="nil"/>
          <w:tr2bl w:val="nil"/>
        </w:tcBorders>
      </w:tcPr>
    </w:tblStylePr>
    <w:tblStylePr w:type="band2Horz">
      <w:tblPr/>
      <w:tcPr>
        <w:tcBorders>
          <w:top w:val="single" w:sz="4" w:space="0" w:color="97999C" w:themeColor="text1" w:themeTint="BF"/>
          <w:left w:val="single" w:sz="4" w:space="0" w:color="97999C" w:themeColor="text1" w:themeTint="BF"/>
          <w:bottom w:val="single" w:sz="4" w:space="0" w:color="97999C" w:themeColor="text1" w:themeTint="BF"/>
          <w:right w:val="single" w:sz="4" w:space="0" w:color="97999C" w:themeColor="text1" w:themeTint="BF"/>
          <w:insideH w:val="single" w:sz="4" w:space="0" w:color="97999C" w:themeColor="text1" w:themeTint="BF"/>
          <w:insideV w:val="single" w:sz="4" w:space="0" w:color="97999C" w:themeColor="text1" w:themeTint="BF"/>
          <w:tl2br w:val="nil"/>
          <w:tr2bl w:val="nil"/>
        </w:tcBorders>
      </w:tcPr>
    </w:tblStylePr>
  </w:style>
  <w:style w:type="character" w:customStyle="1" w:styleId="Heading3Char">
    <w:name w:val="Heading 3 Char"/>
    <w:basedOn w:val="DefaultParagraphFont"/>
    <w:link w:val="Heading3"/>
    <w:uiPriority w:val="9"/>
    <w:rsid w:val="00C03CD1"/>
    <w:rPr>
      <w:rFonts w:ascii="Arial" w:eastAsiaTheme="majorEastAsia" w:hAnsi="Arial" w:cstheme="majorBidi"/>
      <w:b/>
      <w:bCs/>
      <w:color w:val="7C2855"/>
      <w:sz w:val="20"/>
      <w:lang w:val="nl-NL"/>
    </w:rPr>
  </w:style>
  <w:style w:type="numbering" w:customStyle="1" w:styleId="List-indentSDWorx">
    <w:name w:val="List-indent SD Worx"/>
    <w:basedOn w:val="NoList"/>
    <w:uiPriority w:val="99"/>
    <w:rsid w:val="003536F7"/>
    <w:pPr>
      <w:numPr>
        <w:numId w:val="1"/>
      </w:numPr>
    </w:pPr>
  </w:style>
  <w:style w:type="paragraph" w:styleId="ListParagraph">
    <w:name w:val="List Paragraph"/>
    <w:aliases w:val="sdworx list paragraph,MPG Title"/>
    <w:basedOn w:val="Normal"/>
    <w:link w:val="ListParagraphChar"/>
    <w:uiPriority w:val="34"/>
    <w:qFormat/>
    <w:rsid w:val="00B10587"/>
    <w:pPr>
      <w:ind w:left="170" w:hanging="170"/>
      <w:contextualSpacing/>
    </w:pPr>
    <w:rPr>
      <w:color w:val="75787B"/>
      <w:spacing w:val="-3"/>
      <w:szCs w:val="18"/>
    </w:rPr>
  </w:style>
  <w:style w:type="paragraph" w:customStyle="1" w:styleId="SDWorxbodytext">
    <w:name w:val="SD Worx bodytext"/>
    <w:basedOn w:val="Normal"/>
    <w:link w:val="SDWorxbodytextChar"/>
    <w:uiPriority w:val="2"/>
    <w:qFormat/>
    <w:rsid w:val="00B10587"/>
    <w:rPr>
      <w:color w:val="75787B"/>
    </w:rPr>
  </w:style>
  <w:style w:type="paragraph" w:customStyle="1" w:styleId="Kader">
    <w:name w:val="Kader"/>
    <w:basedOn w:val="SDWorxbodytext"/>
    <w:next w:val="SDWorxbodytext"/>
    <w:link w:val="KaderChar"/>
    <w:uiPriority w:val="3"/>
    <w:qFormat/>
    <w:rsid w:val="00B10587"/>
    <w:pPr>
      <w:pBdr>
        <w:top w:val="single" w:sz="8" w:space="14" w:color="F6AA00"/>
        <w:left w:val="single" w:sz="8" w:space="14" w:color="F6AA00"/>
        <w:bottom w:val="single" w:sz="8" w:space="14" w:color="F6AA00"/>
        <w:right w:val="single" w:sz="8" w:space="14" w:color="F6AA00"/>
      </w:pBdr>
      <w:spacing w:before="260" w:after="260"/>
      <w:ind w:left="284" w:right="284"/>
    </w:pPr>
  </w:style>
  <w:style w:type="table" w:styleId="LightList-Accent1">
    <w:name w:val="Light List Accent 1"/>
    <w:aliases w:val="sdworx table 2"/>
    <w:basedOn w:val="TableNormal"/>
    <w:uiPriority w:val="61"/>
    <w:rsid w:val="00C652FE"/>
    <w:pPr>
      <w:spacing w:before="80" w:after="80"/>
    </w:pPr>
    <w:rPr>
      <w:rFonts w:ascii="Arial" w:hAnsi="Arial"/>
      <w:color w:val="75787B"/>
      <w:sz w:val="20"/>
      <w:szCs w:val="22"/>
    </w:rPr>
    <w:tblPr>
      <w:tblStyleRowBandSize w:val="1"/>
      <w:tblStyleColBandSize w:val="1"/>
      <w:tblBorders>
        <w:insideH w:val="single" w:sz="4" w:space="0" w:color="7C2855"/>
        <w:insideV w:val="single" w:sz="4" w:space="0" w:color="7C2855"/>
      </w:tblBorders>
    </w:tblPr>
    <w:tcPr>
      <w:shd w:val="clear" w:color="auto" w:fill="auto"/>
      <w:noWrap/>
    </w:tcPr>
    <w:tblStylePr w:type="firstRow">
      <w:pPr>
        <w:wordWrap/>
        <w:spacing w:beforeLines="0" w:before="80" w:beforeAutospacing="0" w:afterLines="0" w:after="80" w:afterAutospacing="0" w:line="240" w:lineRule="auto"/>
      </w:pPr>
      <w:rPr>
        <w:b/>
        <w:bCs/>
        <w:color w:val="C8C9C7" w:themeColor="background1"/>
        <w:sz w:val="22"/>
      </w:rPr>
      <w:tblPr/>
      <w:tcPr>
        <w:shd w:val="clear" w:color="auto" w:fill="7C2855"/>
      </w:tcPr>
    </w:tblStylePr>
    <w:tblStylePr w:type="lastRow">
      <w:pPr>
        <w:wordWrap/>
        <w:spacing w:beforeLines="30" w:before="30" w:beforeAutospacing="0" w:afterLines="30" w:after="30" w:afterAutospacing="0" w:line="240" w:lineRule="auto"/>
      </w:pPr>
      <w:rPr>
        <w:rFonts w:ascii="Arial" w:hAnsi="Arial"/>
        <w:b/>
        <w:bCs/>
        <w:i w:val="0"/>
        <w:iCs w:val="0"/>
        <w:color w:val="C8C9C7" w:themeColor="background1"/>
        <w:sz w:val="22"/>
      </w:rPr>
      <w:tblPr/>
      <w:tcPr>
        <w:shd w:val="clear" w:color="auto" w:fill="DC4405"/>
      </w:tcPr>
    </w:tblStylePr>
    <w:tblStylePr w:type="firstCol">
      <w:rPr>
        <w:b w:val="0"/>
        <w:bCs/>
      </w:rPr>
      <w:tblPr/>
      <w:tcPr>
        <w:tcBorders>
          <w:top w:val="nil"/>
          <w:left w:val="nil"/>
          <w:bottom w:val="nil"/>
          <w:right w:val="nil"/>
          <w:insideH w:val="nil"/>
          <w:insideV w:val="nil"/>
          <w:tl2br w:val="nil"/>
          <w:tr2bl w:val="nil"/>
        </w:tcBorders>
      </w:tcPr>
    </w:tblStylePr>
    <w:tblStylePr w:type="lastCol">
      <w:rPr>
        <w:b w:val="0"/>
        <w:bCs/>
      </w:rPr>
    </w:tblStylePr>
    <w:tblStylePr w:type="band1Vert">
      <w:tblPr/>
      <w:tcPr>
        <w:tcBorders>
          <w:top w:val="nil"/>
          <w:left w:val="nil"/>
          <w:bottom w:val="nil"/>
          <w:right w:val="nil"/>
          <w:insideH w:val="nil"/>
          <w:insideV w:val="nil"/>
          <w:tl2br w:val="nil"/>
          <w:tr2bl w:val="nil"/>
        </w:tcBorders>
      </w:tcPr>
    </w:tblStylePr>
    <w:tblStylePr w:type="band2Horz">
      <w:tblPr/>
      <w:tcPr>
        <w:shd w:val="clear" w:color="auto" w:fill="BDBEBC" w:themeFill="background1" w:themeFillShade="F2"/>
      </w:tcPr>
    </w:tblStylePr>
  </w:style>
  <w:style w:type="paragraph" w:styleId="TOC1">
    <w:name w:val="toc 1"/>
    <w:basedOn w:val="Normal"/>
    <w:next w:val="Normal"/>
    <w:autoRedefine/>
    <w:uiPriority w:val="39"/>
    <w:unhideWhenUsed/>
    <w:rsid w:val="00785691"/>
    <w:pPr>
      <w:tabs>
        <w:tab w:val="right" w:pos="8392"/>
      </w:tabs>
      <w:spacing w:before="0" w:after="0" w:line="440" w:lineRule="exact"/>
    </w:pPr>
    <w:rPr>
      <w:bCs/>
      <w:color w:val="75787B"/>
      <w:sz w:val="22"/>
      <w:szCs w:val="22"/>
    </w:rPr>
  </w:style>
  <w:style w:type="paragraph" w:styleId="TOC2">
    <w:name w:val="toc 2"/>
    <w:basedOn w:val="Normal"/>
    <w:next w:val="Normal"/>
    <w:autoRedefine/>
    <w:uiPriority w:val="39"/>
    <w:unhideWhenUsed/>
    <w:rsid w:val="00C03CD1"/>
    <w:pPr>
      <w:tabs>
        <w:tab w:val="right" w:pos="8389"/>
      </w:tabs>
      <w:spacing w:before="0" w:after="0" w:line="440" w:lineRule="exact"/>
    </w:pPr>
    <w:rPr>
      <w:bCs/>
      <w:color w:val="75787B"/>
      <w:sz w:val="22"/>
      <w:szCs w:val="22"/>
    </w:rPr>
  </w:style>
  <w:style w:type="paragraph" w:styleId="TOC3">
    <w:name w:val="toc 3"/>
    <w:basedOn w:val="Normal"/>
    <w:next w:val="Normal"/>
    <w:autoRedefine/>
    <w:uiPriority w:val="39"/>
    <w:unhideWhenUsed/>
    <w:rsid w:val="00C03CD1"/>
    <w:pPr>
      <w:tabs>
        <w:tab w:val="right" w:pos="8389"/>
      </w:tabs>
      <w:spacing w:before="0" w:after="0" w:line="440" w:lineRule="exact"/>
    </w:pPr>
    <w:rPr>
      <w:color w:val="75787B"/>
      <w:sz w:val="22"/>
      <w:szCs w:val="22"/>
    </w:rPr>
  </w:style>
  <w:style w:type="paragraph" w:styleId="TOC4">
    <w:name w:val="toc 4"/>
    <w:basedOn w:val="Normal"/>
    <w:next w:val="Normal"/>
    <w:autoRedefine/>
    <w:uiPriority w:val="39"/>
    <w:unhideWhenUsed/>
    <w:rsid w:val="00C03CD1"/>
    <w:rPr>
      <w:rFonts w:asciiTheme="minorHAnsi" w:hAnsiTheme="minorHAnsi"/>
      <w:sz w:val="22"/>
      <w:szCs w:val="22"/>
    </w:rPr>
  </w:style>
  <w:style w:type="paragraph" w:styleId="TOCHeading">
    <w:name w:val="TOC Heading"/>
    <w:next w:val="TOC1"/>
    <w:autoRedefine/>
    <w:uiPriority w:val="39"/>
    <w:unhideWhenUsed/>
    <w:qFormat/>
    <w:rsid w:val="008459C5"/>
    <w:pPr>
      <w:spacing w:after="400"/>
    </w:pPr>
    <w:rPr>
      <w:rFonts w:ascii="Arial" w:eastAsiaTheme="majorEastAsia" w:hAnsi="Arial" w:cstheme="majorBidi"/>
      <w:b/>
      <w:color w:val="7C2855"/>
      <w:sz w:val="32"/>
      <w:szCs w:val="28"/>
      <w:lang w:val="nl-NL"/>
    </w:rPr>
  </w:style>
  <w:style w:type="character" w:styleId="PageNumber">
    <w:name w:val="page number"/>
    <w:basedOn w:val="DefaultParagraphFont"/>
    <w:uiPriority w:val="99"/>
    <w:semiHidden/>
    <w:unhideWhenUsed/>
    <w:rsid w:val="004119C2"/>
  </w:style>
  <w:style w:type="paragraph" w:styleId="Header">
    <w:name w:val="header"/>
    <w:basedOn w:val="Normal"/>
    <w:link w:val="HeaderChar"/>
    <w:uiPriority w:val="99"/>
    <w:unhideWhenUsed/>
    <w:rsid w:val="00B46B9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46B96"/>
    <w:rPr>
      <w:rFonts w:ascii="Arial" w:hAnsi="Arial"/>
      <w:color w:val="404040"/>
      <w:sz w:val="20"/>
      <w:lang w:val="nl-NL"/>
    </w:rPr>
  </w:style>
  <w:style w:type="paragraph" w:styleId="FootnoteText">
    <w:name w:val="footnote text"/>
    <w:basedOn w:val="Normal"/>
    <w:link w:val="FootnoteTextChar"/>
    <w:uiPriority w:val="99"/>
    <w:unhideWhenUsed/>
    <w:rsid w:val="00B10587"/>
    <w:pPr>
      <w:spacing w:before="0" w:after="80" w:line="240" w:lineRule="auto"/>
    </w:pPr>
    <w:rPr>
      <w:color w:val="75787B"/>
      <w:sz w:val="18"/>
    </w:rPr>
  </w:style>
  <w:style w:type="character" w:customStyle="1" w:styleId="FootnoteTextChar">
    <w:name w:val="Footnote Text Char"/>
    <w:basedOn w:val="DefaultParagraphFont"/>
    <w:link w:val="FootnoteText"/>
    <w:uiPriority w:val="99"/>
    <w:rsid w:val="00820499"/>
    <w:rPr>
      <w:rFonts w:ascii="Arial" w:hAnsi="Arial"/>
      <w:color w:val="75787B"/>
      <w:sz w:val="18"/>
      <w:lang w:val="nl-NL"/>
    </w:rPr>
  </w:style>
  <w:style w:type="character" w:styleId="FootnoteReference">
    <w:name w:val="footnote reference"/>
    <w:basedOn w:val="DefaultParagraphFont"/>
    <w:uiPriority w:val="99"/>
    <w:unhideWhenUsed/>
    <w:rsid w:val="003246D7"/>
    <w:rPr>
      <w:color w:val="75787B"/>
      <w:vertAlign w:val="superscript"/>
    </w:rPr>
  </w:style>
  <w:style w:type="paragraph" w:styleId="Footer">
    <w:name w:val="footer"/>
    <w:basedOn w:val="Normal"/>
    <w:link w:val="FooterChar"/>
    <w:uiPriority w:val="99"/>
    <w:unhideWhenUsed/>
    <w:rsid w:val="00F8214E"/>
    <w:pPr>
      <w:pBdr>
        <w:top w:val="single" w:sz="8" w:space="16" w:color="A5A7A9"/>
      </w:pBdr>
      <w:spacing w:before="0" w:after="80" w:line="240" w:lineRule="auto"/>
      <w:ind w:firstLine="1701"/>
    </w:pPr>
    <w:rPr>
      <w:color w:val="75787B"/>
      <w:sz w:val="16"/>
    </w:rPr>
  </w:style>
  <w:style w:type="character" w:customStyle="1" w:styleId="FooterChar">
    <w:name w:val="Footer Char"/>
    <w:basedOn w:val="DefaultParagraphFont"/>
    <w:link w:val="Footer"/>
    <w:uiPriority w:val="99"/>
    <w:rsid w:val="00F8214E"/>
    <w:rPr>
      <w:rFonts w:ascii="Arial" w:hAnsi="Arial"/>
      <w:color w:val="75787B"/>
      <w:sz w:val="16"/>
      <w:lang w:val="nl-NL"/>
    </w:rPr>
  </w:style>
  <w:style w:type="character" w:customStyle="1" w:styleId="KaderChar">
    <w:name w:val="Kader Char"/>
    <w:basedOn w:val="DefaultParagraphFont"/>
    <w:link w:val="Kader"/>
    <w:uiPriority w:val="3"/>
    <w:rsid w:val="00B10587"/>
    <w:rPr>
      <w:rFonts w:ascii="Arial" w:hAnsi="Arial"/>
      <w:color w:val="75787B"/>
      <w:sz w:val="20"/>
      <w:lang w:val="nl-NL"/>
    </w:rPr>
  </w:style>
  <w:style w:type="character" w:customStyle="1" w:styleId="Heading4Char">
    <w:name w:val="Heading 4 Char"/>
    <w:basedOn w:val="DefaultParagraphFont"/>
    <w:link w:val="Heading4"/>
    <w:uiPriority w:val="9"/>
    <w:rsid w:val="00C03CD1"/>
    <w:rPr>
      <w:rFonts w:ascii="Arial" w:eastAsiaTheme="majorEastAsia" w:hAnsi="Arial" w:cstheme="majorBidi"/>
      <w:color w:val="5C1E3F" w:themeColor="accent1" w:themeShade="BF"/>
      <w:sz w:val="20"/>
      <w:lang w:val="nl-NL"/>
    </w:rPr>
  </w:style>
  <w:style w:type="character" w:customStyle="1" w:styleId="Heading5Char">
    <w:name w:val="Heading 5 Char"/>
    <w:basedOn w:val="DefaultParagraphFont"/>
    <w:link w:val="Heading5"/>
    <w:uiPriority w:val="9"/>
    <w:rsid w:val="00C03CD1"/>
    <w:rPr>
      <w:rFonts w:asciiTheme="majorHAnsi" w:eastAsiaTheme="majorEastAsia" w:hAnsiTheme="majorHAnsi" w:cstheme="majorBidi"/>
      <w:color w:val="DC4405"/>
      <w:sz w:val="20"/>
      <w:lang w:val="nl-NL"/>
    </w:rPr>
  </w:style>
  <w:style w:type="paragraph" w:styleId="ListBullet">
    <w:name w:val="List Bullet"/>
    <w:basedOn w:val="Normal"/>
    <w:uiPriority w:val="99"/>
    <w:semiHidden/>
    <w:unhideWhenUsed/>
    <w:rsid w:val="003D4226"/>
    <w:pPr>
      <w:numPr>
        <w:numId w:val="2"/>
      </w:numPr>
      <w:contextualSpacing/>
    </w:pPr>
  </w:style>
  <w:style w:type="table" w:styleId="TableGridLight">
    <w:name w:val="Grid Table Light"/>
    <w:basedOn w:val="TableNormal"/>
    <w:uiPriority w:val="40"/>
    <w:rsid w:val="007E7B1F"/>
    <w:pPr>
      <w:spacing w:before="80" w:after="80"/>
      <w:jc w:val="right"/>
    </w:pPr>
    <w:rPr>
      <w:rFonts w:asciiTheme="minorHAnsi" w:hAnsiTheme="minorHAnsi"/>
      <w:color w:val="75787B"/>
      <w:sz w:val="20"/>
    </w:rPr>
    <w:tblPr>
      <w:tblBorders>
        <w:insideH w:val="single" w:sz="4" w:space="0" w:color="7C2855" w:themeColor="text2"/>
        <w:insideV w:val="single" w:sz="4" w:space="0" w:color="7C2855" w:themeColor="text2"/>
      </w:tblBorders>
    </w:tblPr>
    <w:tcPr>
      <w:vAlign w:val="center"/>
    </w:tcPr>
    <w:tblStylePr w:type="firstRow">
      <w:rPr>
        <w:rFonts w:asciiTheme="minorHAnsi" w:hAnsiTheme="minorHAnsi"/>
        <w:b/>
        <w:i w:val="0"/>
        <w:color w:val="7C2855" w:themeColor="text2"/>
        <w:sz w:val="22"/>
      </w:rPr>
    </w:tblStylePr>
    <w:tblStylePr w:type="lastRow">
      <w:rPr>
        <w:b/>
        <w:color w:val="F3F4F3" w:themeColor="background1" w:themeTint="33"/>
      </w:rPr>
      <w:tblPr/>
      <w:tcPr>
        <w:tcBorders>
          <w:insideV w:val="single" w:sz="8" w:space="0" w:color="F3F4F3" w:themeColor="background1" w:themeTint="33"/>
        </w:tcBorders>
        <w:shd w:val="clear" w:color="auto" w:fill="7C2855" w:themeFill="text2"/>
      </w:tcPr>
    </w:tblStylePr>
    <w:tblStylePr w:type="firstCol">
      <w:pPr>
        <w:wordWrap/>
        <w:jc w:val="left"/>
      </w:pPr>
    </w:tblStylePr>
  </w:style>
  <w:style w:type="table" w:styleId="PlainTable1">
    <w:name w:val="Plain Table 1"/>
    <w:basedOn w:val="TableNormal"/>
    <w:uiPriority w:val="41"/>
    <w:rsid w:val="000C4998"/>
    <w:pPr>
      <w:spacing w:before="80" w:after="80"/>
    </w:pPr>
    <w:rPr>
      <w:rFonts w:asciiTheme="minorHAnsi" w:hAnsiTheme="minorHAnsi"/>
      <w:color w:val="75787B"/>
      <w:sz w:val="20"/>
    </w:rPr>
    <w:tblPr>
      <w:tblStyleRowBandSize w:val="1"/>
      <w:tblStyleColBandSize w:val="1"/>
      <w:tblBorders>
        <w:insideH w:val="single" w:sz="4" w:space="0" w:color="7C2855" w:themeColor="text2"/>
        <w:insideV w:val="single" w:sz="4" w:space="0" w:color="7C2855" w:themeColor="text2"/>
      </w:tblBorders>
    </w:tblPr>
    <w:tcPr>
      <w:shd w:val="clear" w:color="auto" w:fill="auto"/>
      <w:vAlign w:val="center"/>
    </w:tcPr>
    <w:tblStylePr w:type="firstRow">
      <w:rPr>
        <w:rFonts w:asciiTheme="minorHAnsi" w:hAnsiTheme="minorHAnsi"/>
        <w:b/>
        <w:bCs/>
        <w:color w:val="BDBEBC"/>
        <w:sz w:val="22"/>
      </w:rPr>
      <w:tblPr/>
      <w:tcPr>
        <w:tcBorders>
          <w:top w:val="nil"/>
          <w:left w:val="nil"/>
          <w:bottom w:val="nil"/>
          <w:right w:val="nil"/>
          <w:insideH w:val="nil"/>
          <w:insideV w:val="nil"/>
          <w:tl2br w:val="nil"/>
          <w:tr2bl w:val="nil"/>
        </w:tcBorders>
        <w:shd w:val="clear" w:color="auto" w:fill="7C2855" w:themeFill="text2"/>
      </w:tcPr>
    </w:tblStylePr>
    <w:tblStylePr w:type="lastRow">
      <w:rPr>
        <w:rFonts w:asciiTheme="minorHAnsi" w:hAnsiTheme="minorHAnsi"/>
        <w:b/>
        <w:bCs/>
        <w:color w:val="BDBEBC"/>
        <w:sz w:val="22"/>
      </w:rPr>
      <w:tblPr/>
      <w:tcPr>
        <w:shd w:val="clear" w:color="auto" w:fill="DC4405" w:themeFill="accent2"/>
      </w:tcPr>
    </w:tblStylePr>
    <w:tblStylePr w:type="firstCol">
      <w:rPr>
        <w:b/>
        <w:bCs/>
      </w:rPr>
    </w:tblStylePr>
    <w:tblStylePr w:type="lastCol">
      <w:rPr>
        <w:b/>
        <w:bCs/>
      </w:rPr>
    </w:tblStylePr>
    <w:tblStylePr w:type="band2Horz">
      <w:tblPr/>
      <w:tcPr>
        <w:shd w:val="clear" w:color="auto" w:fill="BDBEBC"/>
      </w:tcPr>
    </w:tblStylePr>
  </w:style>
  <w:style w:type="table" w:styleId="PlainTable2">
    <w:name w:val="Plain Table 2"/>
    <w:basedOn w:val="TableNormal"/>
    <w:uiPriority w:val="42"/>
    <w:rsid w:val="001927BC"/>
    <w:pPr>
      <w:spacing w:before="80" w:after="80"/>
      <w:jc w:val="right"/>
    </w:pPr>
    <w:rPr>
      <w:rFonts w:asciiTheme="minorHAnsi" w:hAnsiTheme="minorHAnsi"/>
      <w:color w:val="75787B"/>
      <w:sz w:val="20"/>
    </w:rPr>
    <w:tblPr>
      <w:tblStyleRowBandSize w:val="1"/>
      <w:tblStyleColBandSize w:val="1"/>
      <w:tblBorders>
        <w:left w:val="single" w:sz="4" w:space="0" w:color="75787B"/>
        <w:right w:val="single" w:sz="4" w:space="0" w:color="75787B"/>
        <w:insideV w:val="single" w:sz="4" w:space="0" w:color="7C2855" w:themeColor="text2"/>
      </w:tblBorders>
    </w:tblPr>
    <w:tcPr>
      <w:shd w:val="clear" w:color="auto" w:fill="auto"/>
      <w:vAlign w:val="center"/>
    </w:tcPr>
    <w:tblStylePr w:type="firstRow">
      <w:rPr>
        <w:b/>
        <w:bCs/>
        <w:color w:val="7C2855" w:themeColor="text2"/>
      </w:rPr>
      <w:tblPr/>
      <w:tcPr>
        <w:tcBorders>
          <w:top w:val="nil"/>
          <w:left w:val="nil"/>
          <w:bottom w:val="nil"/>
          <w:right w:val="nil"/>
          <w:insideH w:val="nil"/>
          <w:insideV w:val="single" w:sz="4" w:space="0" w:color="7C2855" w:themeColor="text2"/>
          <w:tl2br w:val="nil"/>
          <w:tr2bl w:val="nil"/>
        </w:tcBorders>
        <w:shd w:val="clear" w:color="auto" w:fill="auto"/>
      </w:tcPr>
    </w:tblStylePr>
    <w:tblStylePr w:type="lastRow">
      <w:rPr>
        <w:b/>
        <w:bCs/>
      </w:rPr>
      <w:tblPr/>
      <w:tcPr>
        <w:tcBorders>
          <w:insideV w:val="single" w:sz="4" w:space="0" w:color="7C2855" w:themeColor="text2"/>
        </w:tcBorders>
        <w:shd w:val="clear" w:color="auto" w:fill="DCDCDC"/>
      </w:tcPr>
    </w:tblStylePr>
    <w:tblStylePr w:type="firstCol">
      <w:pPr>
        <w:jc w:val="left"/>
      </w:pPr>
      <w:rPr>
        <w:b/>
        <w:bCs/>
      </w:rPr>
      <w:tblPr/>
      <w:tcPr>
        <w:tcBorders>
          <w:top w:val="nil"/>
          <w:left w:val="nil"/>
          <w:bottom w:val="nil"/>
          <w:right w:val="nil"/>
          <w:insideH w:val="nil"/>
          <w:insideV w:val="single" w:sz="4" w:space="0" w:color="7C2855" w:themeColor="text2"/>
          <w:tl2br w:val="nil"/>
          <w:tr2bl w:val="nil"/>
        </w:tcBorders>
        <w:shd w:val="clear" w:color="auto" w:fill="auto"/>
      </w:tcPr>
    </w:tblStylePr>
    <w:tblStylePr w:type="lastCol">
      <w:rPr>
        <w:b/>
        <w:bCs/>
      </w:rPr>
      <w:tblPr/>
      <w:tcPr>
        <w:tcBorders>
          <w:top w:val="single" w:sz="4" w:space="0" w:color="7C2855" w:themeColor="text2"/>
          <w:left w:val="single" w:sz="4" w:space="0" w:color="7C2855" w:themeColor="text2"/>
          <w:bottom w:val="single" w:sz="4" w:space="0" w:color="7C2855" w:themeColor="text2"/>
          <w:right w:val="nil"/>
          <w:insideH w:val="single" w:sz="4" w:space="0" w:color="7C2855" w:themeColor="text2"/>
          <w:insideV w:val="single" w:sz="4" w:space="0" w:color="7C2855" w:themeColor="text2"/>
        </w:tcBorders>
        <w:shd w:val="clear" w:color="auto" w:fill="auto"/>
      </w:tcPr>
    </w:tblStylePr>
    <w:tblStylePr w:type="band1Vert">
      <w:tblPr/>
      <w:tcPr>
        <w:tcBorders>
          <w:top w:val="nil"/>
          <w:left w:val="single" w:sz="4" w:space="0" w:color="75787B"/>
          <w:bottom w:val="nil"/>
          <w:right w:val="single" w:sz="4" w:space="0" w:color="75787B"/>
          <w:insideH w:val="nil"/>
          <w:insideV w:val="nil"/>
          <w:tl2br w:val="nil"/>
          <w:tr2bl w:val="nil"/>
        </w:tcBorders>
        <w:shd w:val="clear" w:color="auto" w:fill="auto"/>
      </w:tcPr>
    </w:tblStylePr>
    <w:tblStylePr w:type="band2Vert">
      <w:tblPr/>
      <w:tcPr>
        <w:tcBorders>
          <w:top w:val="nil"/>
          <w:left w:val="nil"/>
          <w:bottom w:val="nil"/>
          <w:right w:val="nil"/>
          <w:insideH w:val="nil"/>
          <w:insideV w:val="single" w:sz="4" w:space="0" w:color="7C2855" w:themeColor="text2"/>
          <w:tl2br w:val="nil"/>
          <w:tr2bl w:val="nil"/>
        </w:tcBorders>
        <w:shd w:val="clear" w:color="auto" w:fill="auto"/>
      </w:tcPr>
    </w:tblStylePr>
    <w:tblStylePr w:type="band1Horz">
      <w:tblPr/>
      <w:tcPr>
        <w:tcBorders>
          <w:top w:val="nil"/>
          <w:left w:val="nil"/>
          <w:bottom w:val="nil"/>
          <w:right w:val="nil"/>
          <w:insideH w:val="nil"/>
          <w:insideV w:val="single" w:sz="4" w:space="0" w:color="7C2855" w:themeColor="text2"/>
          <w:tl2br w:val="nil"/>
          <w:tr2bl w:val="nil"/>
        </w:tcBorders>
        <w:shd w:val="clear" w:color="auto" w:fill="auto"/>
      </w:tcPr>
    </w:tblStylePr>
    <w:tblStylePr w:type="band2Horz">
      <w:tblPr/>
      <w:tcPr>
        <w:tcBorders>
          <w:top w:val="nil"/>
          <w:left w:val="nil"/>
          <w:bottom w:val="nil"/>
          <w:right w:val="nil"/>
          <w:insideH w:val="nil"/>
          <w:insideV w:val="single" w:sz="4" w:space="0" w:color="7C2855" w:themeColor="text2"/>
          <w:tl2br w:val="nil"/>
          <w:tr2bl w:val="nil"/>
        </w:tcBorders>
        <w:shd w:val="clear" w:color="auto" w:fill="auto"/>
      </w:tcPr>
    </w:tblStylePr>
  </w:style>
  <w:style w:type="paragraph" w:styleId="BalloonText">
    <w:name w:val="Balloon Text"/>
    <w:basedOn w:val="Normal"/>
    <w:link w:val="BalloonTextChar"/>
    <w:uiPriority w:val="99"/>
    <w:semiHidden/>
    <w:unhideWhenUsed/>
    <w:rsid w:val="00A7073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737"/>
    <w:rPr>
      <w:rFonts w:ascii="Segoe UI" w:hAnsi="Segoe UI" w:cs="Segoe UI"/>
      <w:sz w:val="18"/>
      <w:szCs w:val="18"/>
      <w:lang w:val="nl-NL"/>
    </w:rPr>
  </w:style>
  <w:style w:type="paragraph" w:styleId="Caption">
    <w:name w:val="caption"/>
    <w:basedOn w:val="Normal"/>
    <w:uiPriority w:val="35"/>
    <w:unhideWhenUsed/>
    <w:qFormat/>
    <w:rsid w:val="00AF2654"/>
    <w:pPr>
      <w:spacing w:before="0" w:after="200" w:line="240" w:lineRule="auto"/>
    </w:pPr>
    <w:rPr>
      <w:i/>
      <w:iCs/>
      <w:color w:val="75787B"/>
      <w:sz w:val="18"/>
      <w:szCs w:val="18"/>
    </w:rPr>
  </w:style>
  <w:style w:type="character" w:styleId="PlaceholderText">
    <w:name w:val="Placeholder Text"/>
    <w:basedOn w:val="DefaultParagraphFont"/>
    <w:uiPriority w:val="99"/>
    <w:semiHidden/>
    <w:rsid w:val="00DA46B9"/>
    <w:rPr>
      <w:color w:val="808080"/>
    </w:rPr>
  </w:style>
  <w:style w:type="table" w:styleId="PlainTable3">
    <w:name w:val="Plain Table 3"/>
    <w:basedOn w:val="TableNormal"/>
    <w:uiPriority w:val="43"/>
    <w:rsid w:val="004F10FD"/>
    <w:pPr>
      <w:jc w:val="right"/>
    </w:pPr>
    <w:rPr>
      <w:rFonts w:asciiTheme="minorHAnsi" w:hAnsiTheme="minorHAnsi"/>
      <w:color w:val="75787B"/>
      <w:sz w:val="20"/>
    </w:rPr>
    <w:tblPr>
      <w:tblStyleRowBandSize w:val="1"/>
      <w:tblStyleColBandSize w:val="1"/>
      <w:tblBorders>
        <w:insideH w:val="single" w:sz="4" w:space="0" w:color="7C2855" w:themeColor="text2"/>
        <w:insideV w:val="single" w:sz="4" w:space="0" w:color="7C2855" w:themeColor="text2"/>
      </w:tblBorders>
    </w:tblPr>
    <w:tcPr>
      <w:vAlign w:val="center"/>
    </w:tcPr>
    <w:tblStylePr w:type="firstRow">
      <w:rPr>
        <w:b/>
        <w:bCs/>
        <w:caps w:val="0"/>
        <w:smallCaps w:val="0"/>
        <w:color w:val="FFFFFF"/>
      </w:rPr>
      <w:tblPr/>
      <w:tcPr>
        <w:tcBorders>
          <w:insideV w:val="single" w:sz="4" w:space="0" w:color="FFFFFF"/>
        </w:tcBorders>
        <w:shd w:val="clear" w:color="auto" w:fill="7C2855" w:themeFill="text2"/>
      </w:tcPr>
    </w:tblStylePr>
    <w:tblStylePr w:type="lastRow">
      <w:rPr>
        <w:b/>
        <w:bCs/>
        <w:caps/>
        <w:color w:val="7C2855" w:themeColor="text2"/>
      </w:rPr>
      <w:tblPr/>
      <w:tcPr>
        <w:tcBorders>
          <w:top w:val="nil"/>
          <w:left w:val="nil"/>
          <w:bottom w:val="single" w:sz="4" w:space="0" w:color="7C2855" w:themeColor="text2"/>
          <w:right w:val="nil"/>
          <w:insideH w:val="single" w:sz="4" w:space="0" w:color="7C2855" w:themeColor="text2"/>
          <w:insideV w:val="single" w:sz="4" w:space="0" w:color="7C2855" w:themeColor="text2"/>
          <w:tl2br w:val="nil"/>
          <w:tr2bl w:val="nil"/>
        </w:tcBorders>
      </w:tcPr>
    </w:tblStylePr>
    <w:tblStylePr w:type="firstCol">
      <w:pPr>
        <w:jc w:val="left"/>
      </w:pPr>
      <w:rPr>
        <w:b/>
        <w:bCs/>
        <w:caps w:val="0"/>
      </w:rPr>
      <w:tblPr/>
      <w:tcPr>
        <w:tcBorders>
          <w:top w:val="nil"/>
          <w:left w:val="nil"/>
          <w:bottom w:val="nil"/>
          <w:right w:val="nil"/>
          <w:insideH w:val="single" w:sz="4" w:space="0" w:color="7C2855" w:themeColor="text2"/>
          <w:insideV w:val="single" w:sz="4" w:space="0" w:color="7C2855" w:themeColor="text2"/>
          <w:tl2br w:val="nil"/>
          <w:tr2bl w:val="nil"/>
        </w:tcBorders>
      </w:tcPr>
    </w:tblStylePr>
    <w:tblStylePr w:type="lastCol">
      <w:rPr>
        <w:b/>
        <w:bCs/>
        <w:caps/>
      </w:rPr>
      <w:tblPr/>
      <w:tcPr>
        <w:tcBorders>
          <w:top w:val="nil"/>
          <w:left w:val="nil"/>
          <w:bottom w:val="nil"/>
          <w:right w:val="nil"/>
          <w:insideH w:val="single" w:sz="4" w:space="0" w:color="7C2855" w:themeColor="text2"/>
          <w:insideV w:val="single" w:sz="4" w:space="0" w:color="7C2855" w:themeColor="text2"/>
          <w:tl2br w:val="nil"/>
          <w:tr2bl w:val="nil"/>
        </w:tcBorders>
      </w:tcPr>
    </w:tblStylePr>
    <w:tblStylePr w:type="band1Vert">
      <w:tblPr/>
      <w:tcPr>
        <w:tcBorders>
          <w:top w:val="single" w:sz="4" w:space="0" w:color="7C2855" w:themeColor="text2"/>
          <w:left w:val="single" w:sz="4" w:space="0" w:color="7C2855" w:themeColor="text2"/>
          <w:bottom w:val="single" w:sz="4" w:space="0" w:color="7C2855" w:themeColor="text2"/>
          <w:right w:val="single" w:sz="4" w:space="0" w:color="7C2855" w:themeColor="text2"/>
          <w:insideH w:val="single" w:sz="4" w:space="0" w:color="7C2855" w:themeColor="text2"/>
          <w:insideV w:val="single" w:sz="4" w:space="0" w:color="7C2855" w:themeColor="text2"/>
        </w:tcBorders>
      </w:tcPr>
    </w:tblStylePr>
    <w:tblStylePr w:type="band2Vert">
      <w:tblPr/>
      <w:tcPr>
        <w:tcBorders>
          <w:top w:val="single" w:sz="4" w:space="0" w:color="7C2855" w:themeColor="text2"/>
          <w:left w:val="single" w:sz="4" w:space="0" w:color="7C2855" w:themeColor="text2"/>
          <w:bottom w:val="single" w:sz="4" w:space="0" w:color="7C2855" w:themeColor="text2"/>
          <w:right w:val="single" w:sz="4" w:space="0" w:color="7C2855" w:themeColor="text2"/>
          <w:insideH w:val="single" w:sz="4" w:space="0" w:color="7C2855" w:themeColor="text2"/>
          <w:insideV w:val="single" w:sz="4" w:space="0" w:color="7C2855" w:themeColor="text2"/>
        </w:tcBorders>
      </w:tcPr>
    </w:tblStylePr>
    <w:tblStylePr w:type="band1Horz">
      <w:tblPr/>
      <w:tcPr>
        <w:tcBorders>
          <w:top w:val="single" w:sz="4" w:space="0" w:color="7C2855" w:themeColor="text2"/>
          <w:left w:val="single" w:sz="4" w:space="0" w:color="7C2855" w:themeColor="text2"/>
          <w:bottom w:val="single" w:sz="4" w:space="0" w:color="7C2855" w:themeColor="text2"/>
          <w:right w:val="single" w:sz="4" w:space="0" w:color="7C2855" w:themeColor="text2"/>
          <w:insideH w:val="single" w:sz="4" w:space="0" w:color="7C2855" w:themeColor="text2"/>
          <w:insideV w:val="single" w:sz="4" w:space="0" w:color="7C2855" w:themeColor="text2"/>
        </w:tcBorders>
      </w:tcPr>
    </w:tblStylePr>
    <w:tblStylePr w:type="band2Horz">
      <w:tblPr/>
      <w:tcPr>
        <w:tcBorders>
          <w:top w:val="single" w:sz="4" w:space="0" w:color="7C2855" w:themeColor="text2"/>
          <w:left w:val="single" w:sz="4" w:space="0" w:color="7C2855" w:themeColor="text2"/>
          <w:bottom w:val="single" w:sz="4" w:space="0" w:color="7C2855" w:themeColor="text2"/>
          <w:right w:val="single" w:sz="4" w:space="0" w:color="7C2855" w:themeColor="text2"/>
          <w:insideH w:val="single" w:sz="4" w:space="0" w:color="7C2855" w:themeColor="text2"/>
          <w:insideV w:val="single" w:sz="4" w:space="0" w:color="7C2855" w:themeColor="text2"/>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EndnoteText">
    <w:name w:val="endnote text"/>
    <w:basedOn w:val="Normal"/>
    <w:link w:val="EndnoteTextChar"/>
    <w:uiPriority w:val="99"/>
    <w:semiHidden/>
    <w:unhideWhenUsed/>
    <w:rsid w:val="00C03CD1"/>
    <w:pPr>
      <w:spacing w:before="0" w:after="0" w:line="240" w:lineRule="auto"/>
    </w:pPr>
    <w:rPr>
      <w:szCs w:val="20"/>
    </w:rPr>
  </w:style>
  <w:style w:type="character" w:customStyle="1" w:styleId="EndnoteTextChar">
    <w:name w:val="Endnote Text Char"/>
    <w:basedOn w:val="DefaultParagraphFont"/>
    <w:link w:val="EndnoteText"/>
    <w:uiPriority w:val="99"/>
    <w:semiHidden/>
    <w:rsid w:val="00C03CD1"/>
    <w:rPr>
      <w:rFonts w:ascii="Arial" w:hAnsi="Arial"/>
      <w:sz w:val="20"/>
      <w:szCs w:val="20"/>
      <w:lang w:val="nl-NL"/>
    </w:rPr>
  </w:style>
  <w:style w:type="character" w:styleId="EndnoteReference">
    <w:name w:val="endnote reference"/>
    <w:basedOn w:val="DefaultParagraphFont"/>
    <w:uiPriority w:val="99"/>
    <w:semiHidden/>
    <w:unhideWhenUsed/>
    <w:rsid w:val="00C03CD1"/>
    <w:rPr>
      <w:vertAlign w:val="superscript"/>
    </w:rPr>
  </w:style>
  <w:style w:type="paragraph" w:styleId="NoSpacing">
    <w:name w:val="No Spacing"/>
    <w:uiPriority w:val="1"/>
    <w:qFormat/>
    <w:rsid w:val="00A723D5"/>
    <w:rPr>
      <w:rFonts w:ascii="Century Gothic" w:eastAsiaTheme="minorHAnsi" w:hAnsi="Century Gothic"/>
      <w:sz w:val="22"/>
      <w:szCs w:val="22"/>
      <w:lang w:val="nl-BE"/>
    </w:rPr>
  </w:style>
  <w:style w:type="paragraph" w:styleId="CommentText">
    <w:name w:val="annotation text"/>
    <w:basedOn w:val="Normal"/>
    <w:link w:val="CommentTextChar"/>
    <w:unhideWhenUsed/>
    <w:rsid w:val="00E349CE"/>
    <w:pPr>
      <w:spacing w:line="240" w:lineRule="auto"/>
    </w:pPr>
    <w:rPr>
      <w:szCs w:val="20"/>
    </w:rPr>
  </w:style>
  <w:style w:type="character" w:customStyle="1" w:styleId="CommentTextChar">
    <w:name w:val="Comment Text Char"/>
    <w:basedOn w:val="DefaultParagraphFont"/>
    <w:link w:val="CommentText"/>
    <w:uiPriority w:val="99"/>
    <w:rsid w:val="00E349CE"/>
    <w:rPr>
      <w:rFonts w:ascii="Arial" w:hAnsi="Arial"/>
      <w:sz w:val="20"/>
      <w:szCs w:val="20"/>
      <w:lang w:val="nl-NL"/>
    </w:rPr>
  </w:style>
  <w:style w:type="character" w:styleId="CommentReference">
    <w:name w:val="annotation reference"/>
    <w:basedOn w:val="DefaultParagraphFont"/>
    <w:unhideWhenUsed/>
    <w:rsid w:val="00E349CE"/>
    <w:rPr>
      <w:sz w:val="16"/>
      <w:szCs w:val="16"/>
    </w:rPr>
  </w:style>
  <w:style w:type="paragraph" w:styleId="Title">
    <w:name w:val="Title"/>
    <w:basedOn w:val="Normal"/>
    <w:next w:val="Normal"/>
    <w:link w:val="TitleChar"/>
    <w:uiPriority w:val="10"/>
    <w:qFormat/>
    <w:rsid w:val="00F34CF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CFA"/>
    <w:rPr>
      <w:rFonts w:asciiTheme="majorHAnsi" w:eastAsiaTheme="majorEastAsia" w:hAnsiTheme="majorHAnsi" w:cstheme="majorBidi"/>
      <w:spacing w:val="-10"/>
      <w:kern w:val="28"/>
      <w:sz w:val="56"/>
      <w:szCs w:val="56"/>
      <w:lang w:val="nl-NL"/>
    </w:rPr>
  </w:style>
  <w:style w:type="paragraph" w:styleId="Revision">
    <w:name w:val="Revision"/>
    <w:hidden/>
    <w:uiPriority w:val="99"/>
    <w:semiHidden/>
    <w:rsid w:val="00A63D85"/>
    <w:rPr>
      <w:rFonts w:ascii="Arial" w:hAnsi="Arial"/>
      <w:sz w:val="20"/>
      <w:lang w:val="nl-NL"/>
    </w:rPr>
  </w:style>
  <w:style w:type="paragraph" w:styleId="CommentSubject">
    <w:name w:val="annotation subject"/>
    <w:basedOn w:val="CommentText"/>
    <w:next w:val="CommentText"/>
    <w:link w:val="CommentSubjectChar"/>
    <w:uiPriority w:val="99"/>
    <w:semiHidden/>
    <w:unhideWhenUsed/>
    <w:rsid w:val="007D0909"/>
    <w:rPr>
      <w:b/>
      <w:bCs/>
    </w:rPr>
  </w:style>
  <w:style w:type="character" w:customStyle="1" w:styleId="CommentSubjectChar">
    <w:name w:val="Comment Subject Char"/>
    <w:basedOn w:val="CommentTextChar"/>
    <w:link w:val="CommentSubject"/>
    <w:uiPriority w:val="99"/>
    <w:semiHidden/>
    <w:rsid w:val="007D0909"/>
    <w:rPr>
      <w:rFonts w:ascii="Arial" w:hAnsi="Arial"/>
      <w:b/>
      <w:bCs/>
      <w:sz w:val="20"/>
      <w:szCs w:val="20"/>
      <w:lang w:val="nl-NL"/>
    </w:rPr>
  </w:style>
  <w:style w:type="character" w:styleId="Mention">
    <w:name w:val="Mention"/>
    <w:basedOn w:val="DefaultParagraphFont"/>
    <w:uiPriority w:val="99"/>
    <w:unhideWhenUsed/>
    <w:rsid w:val="009873A3"/>
    <w:rPr>
      <w:color w:val="2B579A"/>
      <w:shd w:val="clear" w:color="auto" w:fill="E1DFDD"/>
    </w:rPr>
  </w:style>
  <w:style w:type="character" w:customStyle="1" w:styleId="Style1">
    <w:name w:val="Style1"/>
    <w:basedOn w:val="DefaultParagraphFont"/>
    <w:uiPriority w:val="1"/>
    <w:rsid w:val="00252BE5"/>
    <w:rPr>
      <w:b/>
    </w:rPr>
  </w:style>
  <w:style w:type="character" w:customStyle="1" w:styleId="Style2">
    <w:name w:val="Style2"/>
    <w:basedOn w:val="DefaultParagraphFont"/>
    <w:uiPriority w:val="1"/>
    <w:rsid w:val="00903925"/>
    <w:rPr>
      <w:b/>
    </w:rPr>
  </w:style>
  <w:style w:type="character" w:customStyle="1" w:styleId="Boldfillin">
    <w:name w:val="Bold fill in"/>
    <w:basedOn w:val="DefaultParagraphFont"/>
    <w:uiPriority w:val="1"/>
    <w:rsid w:val="00903925"/>
    <w:rPr>
      <w:b/>
    </w:rPr>
  </w:style>
  <w:style w:type="character" w:customStyle="1" w:styleId="Style3">
    <w:name w:val="Style3"/>
    <w:basedOn w:val="Boldfillin"/>
    <w:uiPriority w:val="1"/>
    <w:rsid w:val="00C2081C"/>
    <w:rPr>
      <w:rFonts w:asciiTheme="minorHAnsi" w:hAnsiTheme="minorHAnsi"/>
      <w:b/>
      <w:sz w:val="20"/>
    </w:rPr>
  </w:style>
  <w:style w:type="character" w:customStyle="1" w:styleId="SDstyle">
    <w:name w:val="SD style"/>
    <w:basedOn w:val="Boldfillin"/>
    <w:uiPriority w:val="1"/>
    <w:qFormat/>
    <w:rsid w:val="001103F5"/>
    <w:rPr>
      <w:b/>
    </w:rPr>
  </w:style>
  <w:style w:type="character" w:customStyle="1" w:styleId="Style4">
    <w:name w:val="Style4"/>
    <w:basedOn w:val="DefaultParagraphFont"/>
    <w:uiPriority w:val="1"/>
    <w:qFormat/>
    <w:rsid w:val="001103F5"/>
    <w:rPr>
      <w:rFonts w:asciiTheme="minorHAnsi" w:hAnsiTheme="minorHAnsi"/>
      <w:b/>
      <w:color w:val="75787B" w:themeColor="text1"/>
    </w:rPr>
  </w:style>
  <w:style w:type="paragraph" w:customStyle="1" w:styleId="Fillin">
    <w:name w:val="Fill in"/>
    <w:basedOn w:val="SDWorxbodytext"/>
    <w:link w:val="FillinChar"/>
    <w:uiPriority w:val="98"/>
    <w:qFormat/>
    <w:rsid w:val="001103F5"/>
    <w:pPr>
      <w:spacing w:line="360" w:lineRule="auto"/>
      <w:jc w:val="both"/>
    </w:pPr>
    <w:rPr>
      <w:b/>
      <w:color w:val="DC4405" w:themeColor="accent2"/>
    </w:rPr>
  </w:style>
  <w:style w:type="character" w:customStyle="1" w:styleId="SDWorxbodytextChar">
    <w:name w:val="SD Worx bodytext Char"/>
    <w:basedOn w:val="DefaultParagraphFont"/>
    <w:link w:val="SDWorxbodytext"/>
    <w:uiPriority w:val="2"/>
    <w:rsid w:val="001103F5"/>
    <w:rPr>
      <w:rFonts w:ascii="Arial" w:hAnsi="Arial"/>
      <w:color w:val="75787B"/>
      <w:sz w:val="20"/>
      <w:lang w:val="nl-NL"/>
    </w:rPr>
  </w:style>
  <w:style w:type="character" w:customStyle="1" w:styleId="FillinChar">
    <w:name w:val="Fill in Char"/>
    <w:basedOn w:val="SDWorxbodytextChar"/>
    <w:link w:val="Fillin"/>
    <w:uiPriority w:val="98"/>
    <w:rsid w:val="001103F5"/>
    <w:rPr>
      <w:rFonts w:ascii="Arial" w:hAnsi="Arial"/>
      <w:b/>
      <w:color w:val="DC4405" w:themeColor="accent2"/>
      <w:sz w:val="20"/>
      <w:lang w:val="nl-NL"/>
    </w:rPr>
  </w:style>
  <w:style w:type="paragraph" w:styleId="NormalWeb">
    <w:name w:val="Normal (Web)"/>
    <w:basedOn w:val="Normal"/>
    <w:uiPriority w:val="99"/>
    <w:unhideWhenUsed/>
    <w:rsid w:val="00B6616E"/>
    <w:pPr>
      <w:spacing w:before="100" w:beforeAutospacing="1" w:after="100" w:afterAutospacing="1" w:line="240" w:lineRule="auto"/>
    </w:pPr>
    <w:rPr>
      <w:rFonts w:ascii="Times New Roman" w:eastAsia="Times New Roman" w:hAnsi="Times New Roman" w:cs="Times New Roman"/>
      <w:sz w:val="24"/>
      <w:lang w:val="nl-BE" w:eastAsia="nl-BE"/>
    </w:rPr>
  </w:style>
  <w:style w:type="paragraph" w:styleId="HTMLPreformatted">
    <w:name w:val="HTML Preformatted"/>
    <w:basedOn w:val="Normal"/>
    <w:link w:val="HTMLPreformattedChar"/>
    <w:uiPriority w:val="99"/>
    <w:semiHidden/>
    <w:unhideWhenUsed/>
    <w:rsid w:val="00595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Cs w:val="20"/>
      <w:lang w:val="nl-BE" w:eastAsia="nl-BE"/>
    </w:rPr>
  </w:style>
  <w:style w:type="character" w:customStyle="1" w:styleId="HTMLPreformattedChar">
    <w:name w:val="HTML Preformatted Char"/>
    <w:basedOn w:val="DefaultParagraphFont"/>
    <w:link w:val="HTMLPreformatted"/>
    <w:uiPriority w:val="99"/>
    <w:semiHidden/>
    <w:rsid w:val="00595597"/>
    <w:rPr>
      <w:rFonts w:ascii="Courier New" w:eastAsia="Times New Roman" w:hAnsi="Courier New" w:cs="Courier New"/>
      <w:sz w:val="20"/>
      <w:szCs w:val="20"/>
      <w:lang w:val="nl-BE" w:eastAsia="nl-BE"/>
    </w:rPr>
  </w:style>
  <w:style w:type="character" w:customStyle="1" w:styleId="Heading6Char">
    <w:name w:val="Heading 6 Char"/>
    <w:basedOn w:val="DefaultParagraphFont"/>
    <w:link w:val="Heading6"/>
    <w:uiPriority w:val="9"/>
    <w:rsid w:val="00DA5E4B"/>
    <w:rPr>
      <w:rFonts w:ascii="Arial" w:eastAsia="Calibri" w:hAnsi="Arial" w:cs="Times New Roman"/>
      <w:b/>
      <w:bCs/>
      <w:color w:val="595959"/>
      <w:spacing w:val="5"/>
      <w:sz w:val="22"/>
      <w:szCs w:val="22"/>
      <w:shd w:val="clear" w:color="auto" w:fill="FFFFFF"/>
      <w:lang w:val="nl-BE"/>
    </w:rPr>
  </w:style>
  <w:style w:type="character" w:customStyle="1" w:styleId="Heading7Char">
    <w:name w:val="Heading 7 Char"/>
    <w:basedOn w:val="DefaultParagraphFont"/>
    <w:link w:val="Heading7"/>
    <w:uiPriority w:val="9"/>
    <w:rsid w:val="00DA5E4B"/>
    <w:rPr>
      <w:rFonts w:ascii="Arial" w:eastAsia="Calibri" w:hAnsi="Arial" w:cs="Times New Roman"/>
      <w:b/>
      <w:bCs/>
      <w:i/>
      <w:iCs/>
      <w:color w:val="5A5A5A"/>
      <w:sz w:val="16"/>
      <w:szCs w:val="20"/>
      <w:lang w:val="nl-BE"/>
    </w:rPr>
  </w:style>
  <w:style w:type="character" w:customStyle="1" w:styleId="Heading8Char">
    <w:name w:val="Heading 8 Char"/>
    <w:basedOn w:val="DefaultParagraphFont"/>
    <w:link w:val="Heading8"/>
    <w:uiPriority w:val="9"/>
    <w:rsid w:val="00DA5E4B"/>
    <w:rPr>
      <w:rFonts w:ascii="Arial" w:eastAsia="Calibri" w:hAnsi="Arial" w:cs="Times New Roman"/>
      <w:b/>
      <w:bCs/>
      <w:color w:val="7F7F7F"/>
      <w:sz w:val="16"/>
      <w:szCs w:val="20"/>
      <w:lang w:val="nl-BE"/>
    </w:rPr>
  </w:style>
  <w:style w:type="character" w:customStyle="1" w:styleId="Heading9Char">
    <w:name w:val="Heading 9 Char"/>
    <w:basedOn w:val="DefaultParagraphFont"/>
    <w:link w:val="Heading9"/>
    <w:uiPriority w:val="9"/>
    <w:rsid w:val="00DA5E4B"/>
    <w:rPr>
      <w:rFonts w:ascii="Arial" w:eastAsia="Calibri" w:hAnsi="Arial" w:cs="Times New Roman"/>
      <w:b/>
      <w:bCs/>
      <w:i/>
      <w:iCs/>
      <w:color w:val="7F7F7F"/>
      <w:sz w:val="16"/>
      <w:szCs w:val="18"/>
      <w:lang w:val="nl-BE"/>
    </w:rPr>
  </w:style>
  <w:style w:type="paragraph" w:styleId="NormalIndent">
    <w:name w:val="Normal Indent"/>
    <w:basedOn w:val="Normal"/>
    <w:uiPriority w:val="99"/>
    <w:semiHidden/>
    <w:unhideWhenUsed/>
    <w:rsid w:val="00DA5E4B"/>
    <w:pPr>
      <w:spacing w:before="120" w:after="0" w:line="276" w:lineRule="auto"/>
      <w:ind w:left="708"/>
      <w:jc w:val="both"/>
    </w:pPr>
    <w:rPr>
      <w:rFonts w:eastAsia="Calibri" w:cs="Times New Roman"/>
      <w:sz w:val="16"/>
      <w:szCs w:val="22"/>
      <w:lang w:val="nl-BE"/>
    </w:rPr>
  </w:style>
  <w:style w:type="paragraph" w:customStyle="1" w:styleId="Nummering1">
    <w:name w:val="Nummering 1"/>
    <w:basedOn w:val="Normal"/>
    <w:uiPriority w:val="2"/>
    <w:qFormat/>
    <w:rsid w:val="00DA5E4B"/>
    <w:pPr>
      <w:numPr>
        <w:numId w:val="5"/>
      </w:numPr>
      <w:spacing w:before="120" w:after="0" w:line="276" w:lineRule="auto"/>
      <w:jc w:val="both"/>
    </w:pPr>
    <w:rPr>
      <w:rFonts w:eastAsia="Calibri" w:cs="Times New Roman"/>
      <w:sz w:val="16"/>
      <w:szCs w:val="22"/>
      <w:lang w:val="nl-BE"/>
    </w:rPr>
  </w:style>
  <w:style w:type="paragraph" w:customStyle="1" w:styleId="Nummering2">
    <w:name w:val="Nummering 2"/>
    <w:basedOn w:val="Nummering1"/>
    <w:uiPriority w:val="2"/>
    <w:qFormat/>
    <w:rsid w:val="00DA5E4B"/>
    <w:pPr>
      <w:numPr>
        <w:ilvl w:val="1"/>
      </w:numPr>
      <w:spacing w:before="0"/>
    </w:pPr>
  </w:style>
  <w:style w:type="paragraph" w:customStyle="1" w:styleId="Bijlagetitel">
    <w:name w:val="Bijlage  titel"/>
    <w:basedOn w:val="Normal"/>
    <w:next w:val="Normal"/>
    <w:link w:val="BijlagetitelChar"/>
    <w:autoRedefine/>
    <w:qFormat/>
    <w:rsid w:val="00DA5E4B"/>
    <w:pPr>
      <w:keepNext/>
      <w:pBdr>
        <w:top w:val="single" w:sz="12" w:space="12" w:color="auto"/>
        <w:left w:val="single" w:sz="12" w:space="4" w:color="auto"/>
        <w:bottom w:val="single" w:sz="12" w:space="10" w:color="auto"/>
        <w:right w:val="single" w:sz="12" w:space="4" w:color="auto"/>
      </w:pBdr>
      <w:spacing w:before="120" w:line="276" w:lineRule="auto"/>
      <w:jc w:val="both"/>
      <w:outlineLvl w:val="0"/>
    </w:pPr>
    <w:rPr>
      <w:rFonts w:eastAsia="Calibri" w:cs="Times New Roman"/>
      <w:b/>
      <w:caps/>
      <w:szCs w:val="20"/>
      <w:lang w:val="en-US"/>
    </w:rPr>
  </w:style>
  <w:style w:type="paragraph" w:customStyle="1" w:styleId="Preambule">
    <w:name w:val="Preambule"/>
    <w:basedOn w:val="Normal"/>
    <w:next w:val="Normal"/>
    <w:uiPriority w:val="1"/>
    <w:qFormat/>
    <w:rsid w:val="00DA5E4B"/>
    <w:pPr>
      <w:spacing w:before="240" w:line="276" w:lineRule="auto"/>
      <w:jc w:val="both"/>
    </w:pPr>
    <w:rPr>
      <w:rFonts w:eastAsia="Calibri" w:cs="Times New Roman"/>
      <w:b/>
      <w:i/>
      <w:caps/>
      <w:sz w:val="16"/>
      <w:szCs w:val="22"/>
      <w:lang w:val="nl-BE"/>
    </w:rPr>
  </w:style>
  <w:style w:type="character" w:styleId="Emphasis">
    <w:name w:val="Emphasis"/>
    <w:uiPriority w:val="1"/>
    <w:qFormat/>
    <w:rsid w:val="00DA5E4B"/>
    <w:rPr>
      <w:rFonts w:ascii="Arial" w:hAnsi="Arial"/>
      <w:b/>
      <w:bCs/>
      <w:i w:val="0"/>
      <w:iCs/>
      <w:spacing w:val="0"/>
      <w:sz w:val="16"/>
    </w:rPr>
  </w:style>
  <w:style w:type="paragraph" w:styleId="IntenseQuote">
    <w:name w:val="Intense Quote"/>
    <w:aliases w:val="Aan te vullen"/>
    <w:basedOn w:val="Normal"/>
    <w:next w:val="Normal"/>
    <w:link w:val="IntenseQuoteChar"/>
    <w:uiPriority w:val="30"/>
    <w:qFormat/>
    <w:rsid w:val="00DA5E4B"/>
    <w:pPr>
      <w:pBdr>
        <w:bottom w:val="single" w:sz="4" w:space="4" w:color="4F81BD"/>
      </w:pBdr>
      <w:spacing w:before="200" w:after="280" w:line="276" w:lineRule="auto"/>
      <w:ind w:left="936" w:right="936"/>
      <w:jc w:val="both"/>
    </w:pPr>
    <w:rPr>
      <w:rFonts w:eastAsia="Calibri" w:cs="Times New Roman"/>
      <w:b/>
      <w:bCs/>
      <w:iCs/>
      <w:color w:val="4F81BD"/>
      <w:sz w:val="16"/>
      <w:szCs w:val="22"/>
      <w:u w:val="single"/>
      <w:lang w:val="nl-BE"/>
    </w:rPr>
  </w:style>
  <w:style w:type="character" w:customStyle="1" w:styleId="IntenseQuoteChar">
    <w:name w:val="Intense Quote Char"/>
    <w:aliases w:val="Aan te vullen Char"/>
    <w:basedOn w:val="DefaultParagraphFont"/>
    <w:link w:val="IntenseQuote"/>
    <w:uiPriority w:val="30"/>
    <w:rsid w:val="00DA5E4B"/>
    <w:rPr>
      <w:rFonts w:ascii="Arial" w:eastAsia="Calibri" w:hAnsi="Arial" w:cs="Times New Roman"/>
      <w:b/>
      <w:bCs/>
      <w:iCs/>
      <w:color w:val="4F81BD"/>
      <w:sz w:val="16"/>
      <w:szCs w:val="22"/>
      <w:u w:val="single"/>
      <w:lang w:val="nl-BE"/>
    </w:rPr>
  </w:style>
  <w:style w:type="character" w:styleId="SubtleEmphasis">
    <w:name w:val="Subtle Emphasis"/>
    <w:uiPriority w:val="19"/>
    <w:qFormat/>
    <w:rsid w:val="00DA5E4B"/>
    <w:rPr>
      <w:rFonts w:ascii="Arial" w:hAnsi="Arial"/>
      <w:b/>
      <w:i/>
      <w:iCs/>
      <w:caps/>
      <w:smallCaps w:val="0"/>
      <w:sz w:val="24"/>
    </w:rPr>
  </w:style>
  <w:style w:type="character" w:customStyle="1" w:styleId="VerwijzingArtikel">
    <w:name w:val="Verwijzing Artikel"/>
    <w:uiPriority w:val="1"/>
    <w:qFormat/>
    <w:rsid w:val="00DA5E4B"/>
    <w:rPr>
      <w:rFonts w:ascii="Arial" w:hAnsi="Arial"/>
      <w:u w:val="single"/>
    </w:rPr>
  </w:style>
  <w:style w:type="numbering" w:customStyle="1" w:styleId="SDWorxKoppen">
    <w:name w:val="SDWorx Koppen"/>
    <w:uiPriority w:val="99"/>
    <w:rsid w:val="00DA5E4B"/>
    <w:pPr>
      <w:numPr>
        <w:numId w:val="7"/>
      </w:numPr>
    </w:pPr>
  </w:style>
  <w:style w:type="paragraph" w:customStyle="1" w:styleId="InspringingStandaard">
    <w:name w:val="Inspringing Standaard"/>
    <w:basedOn w:val="Normal"/>
    <w:autoRedefine/>
    <w:qFormat/>
    <w:rsid w:val="00DA5E4B"/>
    <w:pPr>
      <w:spacing w:before="60" w:after="0" w:line="276" w:lineRule="auto"/>
      <w:ind w:left="851"/>
      <w:jc w:val="both"/>
    </w:pPr>
    <w:rPr>
      <w:rFonts w:eastAsia="Calibri" w:cs="Times New Roman"/>
      <w:sz w:val="16"/>
      <w:szCs w:val="22"/>
      <w:lang w:val="en-US"/>
    </w:rPr>
  </w:style>
  <w:style w:type="paragraph" w:styleId="ListNumber2">
    <w:name w:val="List Number 2"/>
    <w:basedOn w:val="Heading2"/>
    <w:link w:val="ListNumber2Char"/>
    <w:uiPriority w:val="99"/>
    <w:unhideWhenUsed/>
    <w:qFormat/>
    <w:rsid w:val="00DA5E4B"/>
    <w:pPr>
      <w:keepNext w:val="0"/>
      <w:keepLines w:val="0"/>
      <w:spacing w:before="60" w:after="0" w:line="271" w:lineRule="auto"/>
      <w:jc w:val="both"/>
      <w:outlineLvl w:val="9"/>
    </w:pPr>
    <w:rPr>
      <w:rFonts w:eastAsia="Calibri" w:cs="Times New Roman"/>
      <w:bCs w:val="0"/>
      <w:color w:val="auto"/>
      <w:sz w:val="20"/>
      <w:szCs w:val="28"/>
      <w:lang w:val="nl-BE"/>
    </w:rPr>
  </w:style>
  <w:style w:type="paragraph" w:styleId="ListNumber3">
    <w:name w:val="List Number 3"/>
    <w:basedOn w:val="Heading3"/>
    <w:link w:val="ListNumber3Char"/>
    <w:uiPriority w:val="99"/>
    <w:unhideWhenUsed/>
    <w:qFormat/>
    <w:rsid w:val="00DA5E4B"/>
    <w:pPr>
      <w:keepNext w:val="0"/>
      <w:keepLines w:val="0"/>
      <w:spacing w:before="60" w:after="0" w:line="271" w:lineRule="auto"/>
      <w:ind w:left="851" w:hanging="851"/>
      <w:jc w:val="both"/>
      <w:outlineLvl w:val="9"/>
    </w:pPr>
    <w:rPr>
      <w:rFonts w:eastAsia="Calibri" w:cs="Times New Roman"/>
      <w:bCs w:val="0"/>
      <w:iCs/>
      <w:color w:val="auto"/>
      <w:szCs w:val="26"/>
      <w:lang w:val="nl-BE"/>
    </w:rPr>
  </w:style>
  <w:style w:type="paragraph" w:styleId="ListNumber4">
    <w:name w:val="List Number 4"/>
    <w:basedOn w:val="Heading4"/>
    <w:link w:val="ListNumber4Char"/>
    <w:uiPriority w:val="99"/>
    <w:unhideWhenUsed/>
    <w:qFormat/>
    <w:rsid w:val="00DA5E4B"/>
    <w:pPr>
      <w:keepNext w:val="0"/>
      <w:keepLines w:val="0"/>
      <w:spacing w:before="60" w:line="271" w:lineRule="auto"/>
      <w:ind w:left="851" w:hanging="851"/>
      <w:jc w:val="both"/>
      <w:outlineLvl w:val="9"/>
    </w:pPr>
    <w:rPr>
      <w:rFonts w:eastAsia="Calibri" w:cs="Times New Roman"/>
      <w:bCs/>
      <w:color w:val="auto"/>
      <w:sz w:val="16"/>
      <w:lang w:val="nl-BE"/>
    </w:rPr>
  </w:style>
  <w:style w:type="paragraph" w:styleId="TOC5">
    <w:name w:val="toc 5"/>
    <w:basedOn w:val="Normal"/>
    <w:next w:val="Normal"/>
    <w:autoRedefine/>
    <w:uiPriority w:val="39"/>
    <w:unhideWhenUsed/>
    <w:rsid w:val="00DA5E4B"/>
    <w:pPr>
      <w:spacing w:before="0" w:after="100" w:line="259" w:lineRule="auto"/>
      <w:ind w:left="880"/>
    </w:pPr>
    <w:rPr>
      <w:rFonts w:ascii="Calibri" w:eastAsia="Times New Roman" w:hAnsi="Calibri" w:cs="Times New Roman"/>
      <w:sz w:val="22"/>
      <w:szCs w:val="22"/>
      <w:lang w:val="nl-BE" w:eastAsia="nl-BE"/>
    </w:rPr>
  </w:style>
  <w:style w:type="paragraph" w:styleId="TOC6">
    <w:name w:val="toc 6"/>
    <w:basedOn w:val="Normal"/>
    <w:next w:val="Normal"/>
    <w:autoRedefine/>
    <w:uiPriority w:val="39"/>
    <w:unhideWhenUsed/>
    <w:rsid w:val="00DA5E4B"/>
    <w:pPr>
      <w:spacing w:before="0" w:after="100" w:line="259" w:lineRule="auto"/>
      <w:ind w:left="1100"/>
    </w:pPr>
    <w:rPr>
      <w:rFonts w:ascii="Calibri" w:eastAsia="Times New Roman" w:hAnsi="Calibri" w:cs="Times New Roman"/>
      <w:sz w:val="22"/>
      <w:szCs w:val="22"/>
      <w:lang w:val="nl-BE" w:eastAsia="nl-BE"/>
    </w:rPr>
  </w:style>
  <w:style w:type="paragraph" w:styleId="TOC7">
    <w:name w:val="toc 7"/>
    <w:basedOn w:val="Normal"/>
    <w:next w:val="Normal"/>
    <w:autoRedefine/>
    <w:uiPriority w:val="39"/>
    <w:unhideWhenUsed/>
    <w:rsid w:val="00DA5E4B"/>
    <w:pPr>
      <w:spacing w:before="0" w:after="100" w:line="259" w:lineRule="auto"/>
      <w:ind w:left="1320"/>
    </w:pPr>
    <w:rPr>
      <w:rFonts w:ascii="Calibri" w:eastAsia="Times New Roman" w:hAnsi="Calibri" w:cs="Times New Roman"/>
      <w:sz w:val="22"/>
      <w:szCs w:val="22"/>
      <w:lang w:val="nl-BE" w:eastAsia="nl-BE"/>
    </w:rPr>
  </w:style>
  <w:style w:type="paragraph" w:styleId="TOC8">
    <w:name w:val="toc 8"/>
    <w:basedOn w:val="Normal"/>
    <w:next w:val="Normal"/>
    <w:autoRedefine/>
    <w:uiPriority w:val="39"/>
    <w:unhideWhenUsed/>
    <w:rsid w:val="00DA5E4B"/>
    <w:pPr>
      <w:spacing w:before="0" w:after="100" w:line="259" w:lineRule="auto"/>
      <w:ind w:left="1540"/>
    </w:pPr>
    <w:rPr>
      <w:rFonts w:ascii="Calibri" w:eastAsia="Times New Roman" w:hAnsi="Calibri" w:cs="Times New Roman"/>
      <w:sz w:val="22"/>
      <w:szCs w:val="22"/>
      <w:lang w:val="nl-BE" w:eastAsia="nl-BE"/>
    </w:rPr>
  </w:style>
  <w:style w:type="paragraph" w:styleId="TOC9">
    <w:name w:val="toc 9"/>
    <w:basedOn w:val="Normal"/>
    <w:next w:val="Normal"/>
    <w:autoRedefine/>
    <w:uiPriority w:val="39"/>
    <w:unhideWhenUsed/>
    <w:rsid w:val="00DA5E4B"/>
    <w:pPr>
      <w:spacing w:before="0" w:after="100" w:line="259" w:lineRule="auto"/>
      <w:ind w:left="1760"/>
    </w:pPr>
    <w:rPr>
      <w:rFonts w:ascii="Calibri" w:eastAsia="Times New Roman" w:hAnsi="Calibri" w:cs="Times New Roman"/>
      <w:sz w:val="22"/>
      <w:szCs w:val="22"/>
      <w:lang w:val="nl-BE" w:eastAsia="nl-BE"/>
    </w:rPr>
  </w:style>
  <w:style w:type="character" w:customStyle="1" w:styleId="BijlagetitelChar">
    <w:name w:val="Bijlage  titel Char"/>
    <w:link w:val="Bijlagetitel"/>
    <w:rsid w:val="00DA5E4B"/>
    <w:rPr>
      <w:rFonts w:ascii="Arial" w:eastAsia="Calibri" w:hAnsi="Arial" w:cs="Times New Roman"/>
      <w:b/>
      <w:caps/>
      <w:sz w:val="20"/>
      <w:szCs w:val="20"/>
      <w:lang w:val="en-US"/>
    </w:rPr>
  </w:style>
  <w:style w:type="paragraph" w:customStyle="1" w:styleId="BijlageKop1">
    <w:name w:val="Bijlage Kop 1"/>
    <w:basedOn w:val="Heading1"/>
    <w:next w:val="Normal"/>
    <w:link w:val="BijlageKop1Char"/>
    <w:qFormat/>
    <w:rsid w:val="00DA5E4B"/>
    <w:pPr>
      <w:numPr>
        <w:numId w:val="11"/>
      </w:numPr>
      <w:spacing w:before="120" w:after="0" w:line="276" w:lineRule="auto"/>
      <w:jc w:val="both"/>
      <w:outlineLvl w:val="9"/>
    </w:pPr>
    <w:rPr>
      <w:rFonts w:eastAsia="Calibri" w:cs="Times New Roman"/>
      <w:bCs w:val="0"/>
      <w:caps/>
      <w:color w:val="auto"/>
      <w:spacing w:val="5"/>
      <w:sz w:val="20"/>
      <w:szCs w:val="36"/>
      <w:lang w:val="en-GB"/>
    </w:rPr>
  </w:style>
  <w:style w:type="paragraph" w:customStyle="1" w:styleId="BijlageKop2">
    <w:name w:val="Bijlage Kop 2"/>
    <w:basedOn w:val="Heading2"/>
    <w:next w:val="Normal"/>
    <w:link w:val="BijlageKop2Char"/>
    <w:autoRedefine/>
    <w:qFormat/>
    <w:rsid w:val="00DA5E4B"/>
    <w:pPr>
      <w:keepLines w:val="0"/>
      <w:numPr>
        <w:ilvl w:val="2"/>
        <w:numId w:val="6"/>
      </w:numPr>
      <w:spacing w:before="60" w:after="0" w:line="271" w:lineRule="auto"/>
      <w:jc w:val="both"/>
      <w:outlineLvl w:val="9"/>
    </w:pPr>
    <w:rPr>
      <w:rFonts w:eastAsia="Calibri" w:cs="Times New Roman"/>
      <w:b/>
      <w:bCs w:val="0"/>
      <w:color w:val="auto"/>
      <w:sz w:val="20"/>
      <w:szCs w:val="28"/>
      <w:lang w:val="nl-BE"/>
    </w:rPr>
  </w:style>
  <w:style w:type="character" w:customStyle="1" w:styleId="BijlageKop1Char">
    <w:name w:val="Bijlage Kop 1 Char"/>
    <w:link w:val="BijlageKop1"/>
    <w:rsid w:val="00DA5E4B"/>
    <w:rPr>
      <w:rFonts w:ascii="Arial" w:eastAsia="Calibri" w:hAnsi="Arial" w:cs="Times New Roman"/>
      <w:b/>
      <w:caps/>
      <w:spacing w:val="5"/>
      <w:sz w:val="20"/>
      <w:szCs w:val="36"/>
    </w:rPr>
  </w:style>
  <w:style w:type="paragraph" w:customStyle="1" w:styleId="BijlageKop3">
    <w:name w:val="Bijlage Kop 3"/>
    <w:basedOn w:val="Heading3"/>
    <w:next w:val="Normal"/>
    <w:link w:val="BijlageKop3Char"/>
    <w:qFormat/>
    <w:rsid w:val="00DA5E4B"/>
    <w:pPr>
      <w:keepLines w:val="0"/>
      <w:numPr>
        <w:ilvl w:val="3"/>
        <w:numId w:val="6"/>
      </w:numPr>
      <w:spacing w:before="120" w:after="0" w:line="271" w:lineRule="auto"/>
      <w:jc w:val="both"/>
      <w:outlineLvl w:val="9"/>
    </w:pPr>
    <w:rPr>
      <w:rFonts w:eastAsia="Calibri" w:cs="Times New Roman"/>
      <w:bCs w:val="0"/>
      <w:iCs/>
      <w:color w:val="auto"/>
      <w:szCs w:val="26"/>
      <w:lang w:val="nl-BE"/>
    </w:rPr>
  </w:style>
  <w:style w:type="character" w:customStyle="1" w:styleId="BijlageKop2Char">
    <w:name w:val="Bijlage Kop 2 Char"/>
    <w:link w:val="BijlageKop2"/>
    <w:rsid w:val="00DA5E4B"/>
    <w:rPr>
      <w:rFonts w:ascii="Arial" w:eastAsia="Calibri" w:hAnsi="Arial" w:cs="Times New Roman"/>
      <w:b/>
      <w:sz w:val="20"/>
      <w:szCs w:val="28"/>
      <w:lang w:val="nl-BE"/>
    </w:rPr>
  </w:style>
  <w:style w:type="paragraph" w:customStyle="1" w:styleId="BijlageKop4">
    <w:name w:val="Bijlage Kop 4"/>
    <w:basedOn w:val="Heading4"/>
    <w:next w:val="Normal"/>
    <w:link w:val="BijlageKop4Char"/>
    <w:qFormat/>
    <w:rsid w:val="00DA5E4B"/>
    <w:pPr>
      <w:keepLines w:val="0"/>
      <w:numPr>
        <w:ilvl w:val="4"/>
        <w:numId w:val="6"/>
      </w:numPr>
      <w:spacing w:before="60" w:line="271" w:lineRule="auto"/>
      <w:jc w:val="both"/>
      <w:outlineLvl w:val="9"/>
    </w:pPr>
    <w:rPr>
      <w:rFonts w:eastAsia="Calibri" w:cs="Times New Roman"/>
      <w:bCs/>
      <w:color w:val="auto"/>
      <w:spacing w:val="5"/>
      <w:sz w:val="16"/>
      <w:lang w:val="nl-BE"/>
    </w:rPr>
  </w:style>
  <w:style w:type="character" w:customStyle="1" w:styleId="BijlageKop3Char">
    <w:name w:val="Bijlage Kop 3 Char"/>
    <w:link w:val="BijlageKop3"/>
    <w:rsid w:val="00DA5E4B"/>
    <w:rPr>
      <w:rFonts w:ascii="Arial" w:eastAsia="Calibri" w:hAnsi="Arial" w:cs="Times New Roman"/>
      <w:b/>
      <w:iCs/>
      <w:sz w:val="20"/>
      <w:szCs w:val="26"/>
      <w:lang w:val="nl-BE"/>
    </w:rPr>
  </w:style>
  <w:style w:type="paragraph" w:customStyle="1" w:styleId="BijlageLijstnummering2">
    <w:name w:val="Bijlage Lijstnummering 2"/>
    <w:basedOn w:val="BijlageKop2"/>
    <w:link w:val="BijlageLijstnummering2Char"/>
    <w:qFormat/>
    <w:rsid w:val="00DA5E4B"/>
    <w:pPr>
      <w:keepNext w:val="0"/>
    </w:pPr>
    <w:rPr>
      <w:b w:val="0"/>
    </w:rPr>
  </w:style>
  <w:style w:type="character" w:customStyle="1" w:styleId="BijlageKop4Char">
    <w:name w:val="Bijlage Kop 4 Char"/>
    <w:link w:val="BijlageKop4"/>
    <w:rsid w:val="00DA5E4B"/>
    <w:rPr>
      <w:rFonts w:ascii="Arial" w:eastAsia="Calibri" w:hAnsi="Arial" w:cs="Times New Roman"/>
      <w:bCs/>
      <w:spacing w:val="5"/>
      <w:sz w:val="16"/>
      <w:lang w:val="nl-BE"/>
    </w:rPr>
  </w:style>
  <w:style w:type="paragraph" w:customStyle="1" w:styleId="BijlageLijstnummering3">
    <w:name w:val="Bijlage Lijstnummering 3"/>
    <w:basedOn w:val="BijlageKop3"/>
    <w:link w:val="BijlageLijstnummering3Char"/>
    <w:qFormat/>
    <w:rsid w:val="00DA5E4B"/>
    <w:pPr>
      <w:keepNext w:val="0"/>
      <w:spacing w:before="60"/>
    </w:pPr>
  </w:style>
  <w:style w:type="character" w:customStyle="1" w:styleId="ListNumber2Char">
    <w:name w:val="List Number 2 Char"/>
    <w:link w:val="ListNumber2"/>
    <w:uiPriority w:val="99"/>
    <w:rsid w:val="00DA5E4B"/>
    <w:rPr>
      <w:rFonts w:ascii="Arial" w:eastAsia="Calibri" w:hAnsi="Arial" w:cs="Times New Roman"/>
      <w:sz w:val="20"/>
      <w:szCs w:val="28"/>
      <w:lang w:val="nl-BE"/>
    </w:rPr>
  </w:style>
  <w:style w:type="character" w:customStyle="1" w:styleId="BijlageLijstnummering2Char">
    <w:name w:val="Bijlage Lijstnummering 2 Char"/>
    <w:link w:val="BijlageLijstnummering2"/>
    <w:rsid w:val="00DA5E4B"/>
    <w:rPr>
      <w:rFonts w:ascii="Arial" w:eastAsia="Calibri" w:hAnsi="Arial" w:cs="Times New Roman"/>
      <w:sz w:val="20"/>
      <w:szCs w:val="28"/>
      <w:lang w:val="nl-BE"/>
    </w:rPr>
  </w:style>
  <w:style w:type="paragraph" w:customStyle="1" w:styleId="BijlageLijstnummering4">
    <w:name w:val="Bijlage Lijstnummering 4"/>
    <w:basedOn w:val="BijlageKop4"/>
    <w:link w:val="BijlageLijstnummering4Char"/>
    <w:qFormat/>
    <w:rsid w:val="00DA5E4B"/>
    <w:pPr>
      <w:keepNext w:val="0"/>
    </w:pPr>
  </w:style>
  <w:style w:type="character" w:customStyle="1" w:styleId="ListNumber3Char">
    <w:name w:val="List Number 3 Char"/>
    <w:link w:val="ListNumber3"/>
    <w:uiPriority w:val="99"/>
    <w:rsid w:val="00DA5E4B"/>
    <w:rPr>
      <w:rFonts w:ascii="Arial" w:eastAsia="Calibri" w:hAnsi="Arial" w:cs="Times New Roman"/>
      <w:b/>
      <w:iCs/>
      <w:sz w:val="20"/>
      <w:szCs w:val="26"/>
      <w:lang w:val="nl-BE"/>
    </w:rPr>
  </w:style>
  <w:style w:type="character" w:customStyle="1" w:styleId="BijlageLijstnummering3Char">
    <w:name w:val="Bijlage Lijstnummering 3 Char"/>
    <w:link w:val="BijlageLijstnummering3"/>
    <w:rsid w:val="00DA5E4B"/>
    <w:rPr>
      <w:rFonts w:ascii="Arial" w:eastAsia="Calibri" w:hAnsi="Arial" w:cs="Times New Roman"/>
      <w:b/>
      <w:iCs/>
      <w:sz w:val="20"/>
      <w:szCs w:val="26"/>
      <w:lang w:val="nl-BE"/>
    </w:rPr>
  </w:style>
  <w:style w:type="character" w:customStyle="1" w:styleId="VerwijzingAnnex">
    <w:name w:val="Verwijzing Annex"/>
    <w:uiPriority w:val="1"/>
    <w:qFormat/>
    <w:rsid w:val="00DA5E4B"/>
    <w:rPr>
      <w:rFonts w:ascii="Arial" w:hAnsi="Arial"/>
      <w:b/>
      <w:i/>
      <w:caps w:val="0"/>
      <w:smallCaps/>
      <w:u w:val="single"/>
    </w:rPr>
  </w:style>
  <w:style w:type="character" w:customStyle="1" w:styleId="ListNumber4Char">
    <w:name w:val="List Number 4 Char"/>
    <w:link w:val="ListNumber4"/>
    <w:uiPriority w:val="99"/>
    <w:rsid w:val="00DA5E4B"/>
    <w:rPr>
      <w:rFonts w:ascii="Arial" w:eastAsia="Calibri" w:hAnsi="Arial" w:cs="Times New Roman"/>
      <w:bCs/>
      <w:sz w:val="16"/>
      <w:lang w:val="nl-BE"/>
    </w:rPr>
  </w:style>
  <w:style w:type="character" w:customStyle="1" w:styleId="BijlageLijstnummering4Char">
    <w:name w:val="Bijlage Lijstnummering 4 Char"/>
    <w:link w:val="BijlageLijstnummering4"/>
    <w:rsid w:val="00DA5E4B"/>
    <w:rPr>
      <w:rFonts w:ascii="Arial" w:eastAsia="Calibri" w:hAnsi="Arial" w:cs="Times New Roman"/>
      <w:bCs/>
      <w:spacing w:val="5"/>
      <w:sz w:val="16"/>
      <w:lang w:val="nl-BE"/>
    </w:rPr>
  </w:style>
  <w:style w:type="numbering" w:customStyle="1" w:styleId="SDWorxBijlagen">
    <w:name w:val="SDWorx Bijlagen"/>
    <w:uiPriority w:val="99"/>
    <w:rsid w:val="00DA5E4B"/>
    <w:pPr>
      <w:numPr>
        <w:numId w:val="8"/>
      </w:numPr>
    </w:pPr>
  </w:style>
  <w:style w:type="character" w:customStyle="1" w:styleId="Nadrukvoorblad">
    <w:name w:val="Nadruk voorblad"/>
    <w:uiPriority w:val="1"/>
    <w:qFormat/>
    <w:rsid w:val="00DA5E4B"/>
    <w:rPr>
      <w:rFonts w:ascii="Arial" w:hAnsi="Arial"/>
      <w:b/>
      <w:bCs/>
      <w:i w:val="0"/>
      <w:iCs/>
      <w:spacing w:val="0"/>
      <w:sz w:val="16"/>
    </w:rPr>
  </w:style>
  <w:style w:type="paragraph" w:customStyle="1" w:styleId="Standaardklein">
    <w:name w:val="Standaard klein"/>
    <w:basedOn w:val="Normal"/>
    <w:qFormat/>
    <w:rsid w:val="00DA5E4B"/>
    <w:pPr>
      <w:spacing w:before="120" w:after="0" w:line="240" w:lineRule="auto"/>
    </w:pPr>
    <w:rPr>
      <w:rFonts w:eastAsia="Calibri" w:cs="Times New Roman"/>
      <w:sz w:val="16"/>
      <w:szCs w:val="18"/>
      <w:lang w:val="nl-BE"/>
    </w:rPr>
  </w:style>
  <w:style w:type="character" w:customStyle="1" w:styleId="Nadrukklein">
    <w:name w:val="Nadruk klein"/>
    <w:basedOn w:val="Emphasis"/>
    <w:uiPriority w:val="1"/>
    <w:qFormat/>
    <w:rsid w:val="00DA5E4B"/>
    <w:rPr>
      <w:rFonts w:ascii="Arial" w:hAnsi="Arial"/>
      <w:b/>
      <w:bCs/>
      <w:i w:val="0"/>
      <w:iCs/>
      <w:spacing w:val="0"/>
      <w:sz w:val="16"/>
    </w:rPr>
  </w:style>
  <w:style w:type="paragraph" w:customStyle="1" w:styleId="Nummeringbullet">
    <w:name w:val="Nummering bullet"/>
    <w:basedOn w:val="ListParagraph"/>
    <w:qFormat/>
    <w:rsid w:val="00DA5E4B"/>
    <w:pPr>
      <w:numPr>
        <w:numId w:val="9"/>
      </w:numPr>
      <w:spacing w:before="120" w:after="0" w:line="276" w:lineRule="auto"/>
      <w:jc w:val="both"/>
    </w:pPr>
    <w:rPr>
      <w:rFonts w:eastAsia="Calibri" w:cs="Times New Roman"/>
      <w:color w:val="auto"/>
      <w:spacing w:val="0"/>
      <w:sz w:val="16"/>
      <w:szCs w:val="22"/>
      <w:lang w:val="en-US"/>
    </w:rPr>
  </w:style>
  <w:style w:type="paragraph" w:customStyle="1" w:styleId="NummeringCheck">
    <w:name w:val="Nummering Check"/>
    <w:basedOn w:val="Standaardklein"/>
    <w:qFormat/>
    <w:rsid w:val="00DA5E4B"/>
    <w:pPr>
      <w:numPr>
        <w:numId w:val="10"/>
      </w:numPr>
    </w:pPr>
    <w:rPr>
      <w:lang w:val="en-GB"/>
    </w:rPr>
  </w:style>
  <w:style w:type="paragraph" w:customStyle="1" w:styleId="Annexesappendices">
    <w:name w:val="Annexes/appendices"/>
    <w:basedOn w:val="Preambule"/>
    <w:qFormat/>
    <w:rsid w:val="00DA5E4B"/>
    <w:rPr>
      <w:i w:val="0"/>
      <w:sz w:val="18"/>
    </w:rPr>
  </w:style>
  <w:style w:type="table" w:customStyle="1" w:styleId="Tabelraster1">
    <w:name w:val="Tabelraster1"/>
    <w:basedOn w:val="TableNormal"/>
    <w:next w:val="TableGrid"/>
    <w:uiPriority w:val="59"/>
    <w:rsid w:val="00DA5E4B"/>
    <w:rPr>
      <w:rFonts w:ascii="Times New Roman" w:eastAsia="Times New Roman" w:hAnsi="Times New Roman" w:cs="Times New Roman"/>
      <w:sz w:val="20"/>
      <w:szCs w:val="20"/>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TableNormal"/>
    <w:next w:val="TableGrid"/>
    <w:uiPriority w:val="59"/>
    <w:rsid w:val="00DA5E4B"/>
    <w:rPr>
      <w:rFonts w:ascii="Times New Roman" w:eastAsia="Times New Roman" w:hAnsi="Times New Roman" w:cs="Times New Roman"/>
      <w:sz w:val="20"/>
      <w:szCs w:val="20"/>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TableNormal"/>
    <w:next w:val="TableGrid"/>
    <w:uiPriority w:val="59"/>
    <w:rsid w:val="00DA5E4B"/>
    <w:rPr>
      <w:rFonts w:ascii="Times New Roman" w:eastAsia="Times New Roman" w:hAnsi="Times New Roman" w:cs="Times New Roman"/>
      <w:sz w:val="20"/>
      <w:szCs w:val="20"/>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A5E4B"/>
    <w:pPr>
      <w:spacing w:before="120" w:line="276" w:lineRule="auto"/>
      <w:jc w:val="both"/>
    </w:pPr>
    <w:rPr>
      <w:rFonts w:eastAsia="Calibri" w:cs="Times New Roman"/>
      <w:sz w:val="16"/>
      <w:szCs w:val="22"/>
      <w:lang w:val="nl-BE"/>
    </w:rPr>
  </w:style>
  <w:style w:type="character" w:customStyle="1" w:styleId="BodyTextChar">
    <w:name w:val="Body Text Char"/>
    <w:basedOn w:val="DefaultParagraphFont"/>
    <w:link w:val="BodyText"/>
    <w:uiPriority w:val="99"/>
    <w:semiHidden/>
    <w:rsid w:val="00DA5E4B"/>
    <w:rPr>
      <w:rFonts w:ascii="Arial" w:eastAsia="Calibri" w:hAnsi="Arial" w:cs="Times New Roman"/>
      <w:sz w:val="16"/>
      <w:szCs w:val="22"/>
      <w:lang w:val="nl-BE"/>
    </w:rPr>
  </w:style>
  <w:style w:type="paragraph" w:styleId="BodyText2">
    <w:name w:val="Body Text 2"/>
    <w:basedOn w:val="Normal"/>
    <w:link w:val="BodyText2Char"/>
    <w:uiPriority w:val="99"/>
    <w:semiHidden/>
    <w:unhideWhenUsed/>
    <w:rsid w:val="00DA5E4B"/>
    <w:pPr>
      <w:spacing w:before="120" w:line="480" w:lineRule="auto"/>
      <w:jc w:val="both"/>
    </w:pPr>
    <w:rPr>
      <w:rFonts w:eastAsia="Calibri" w:cs="Times New Roman"/>
      <w:sz w:val="16"/>
      <w:szCs w:val="22"/>
      <w:lang w:val="nl-BE"/>
    </w:rPr>
  </w:style>
  <w:style w:type="character" w:customStyle="1" w:styleId="BodyText2Char">
    <w:name w:val="Body Text 2 Char"/>
    <w:basedOn w:val="DefaultParagraphFont"/>
    <w:link w:val="BodyText2"/>
    <w:uiPriority w:val="99"/>
    <w:semiHidden/>
    <w:rsid w:val="00DA5E4B"/>
    <w:rPr>
      <w:rFonts w:ascii="Arial" w:eastAsia="Calibri" w:hAnsi="Arial" w:cs="Times New Roman"/>
      <w:sz w:val="16"/>
      <w:szCs w:val="22"/>
      <w:lang w:val="nl-BE"/>
    </w:rPr>
  </w:style>
  <w:style w:type="character" w:styleId="UnresolvedMention">
    <w:name w:val="Unresolved Mention"/>
    <w:basedOn w:val="DefaultParagraphFont"/>
    <w:uiPriority w:val="99"/>
    <w:semiHidden/>
    <w:unhideWhenUsed/>
    <w:rsid w:val="00DA5E4B"/>
    <w:rPr>
      <w:color w:val="605E5C"/>
      <w:shd w:val="clear" w:color="auto" w:fill="E1DFDD"/>
    </w:rPr>
  </w:style>
  <w:style w:type="character" w:customStyle="1" w:styleId="ListParagraphChar">
    <w:name w:val="List Paragraph Char"/>
    <w:aliases w:val="sdworx list paragraph Char,MPG Title Char"/>
    <w:basedOn w:val="DefaultParagraphFont"/>
    <w:link w:val="ListParagraph"/>
    <w:uiPriority w:val="34"/>
    <w:rsid w:val="00DA5E4B"/>
    <w:rPr>
      <w:rFonts w:ascii="Arial" w:hAnsi="Arial"/>
      <w:color w:val="75787B"/>
      <w:spacing w:val="-3"/>
      <w:sz w:val="20"/>
      <w:szCs w:val="18"/>
      <w:lang w:val="nl-NL"/>
    </w:rPr>
  </w:style>
  <w:style w:type="table" w:customStyle="1" w:styleId="Onopgemaaktetabel11">
    <w:name w:val="Onopgemaakte tabel 11"/>
    <w:basedOn w:val="TableNormal"/>
    <w:uiPriority w:val="41"/>
    <w:rsid w:val="00DA5E4B"/>
    <w:pPr>
      <w:spacing w:before="80" w:after="80"/>
    </w:pPr>
    <w:rPr>
      <w:rFonts w:asciiTheme="minorHAnsi" w:hAnsiTheme="minorHAnsi"/>
      <w:color w:val="75787B"/>
      <w:sz w:val="20"/>
    </w:rPr>
    <w:tblPr>
      <w:tblStyleRowBandSize w:val="1"/>
      <w:tblStyleColBandSize w:val="1"/>
      <w:tblInd w:w="0" w:type="nil"/>
      <w:tblBorders>
        <w:insideH w:val="single" w:sz="4" w:space="0" w:color="7C2855" w:themeColor="text2"/>
        <w:insideV w:val="single" w:sz="4" w:space="0" w:color="7C2855" w:themeColor="text2"/>
      </w:tblBorders>
    </w:tblPr>
    <w:tcPr>
      <w:vAlign w:val="center"/>
    </w:tcPr>
    <w:tblStylePr w:type="firstRow">
      <w:rPr>
        <w:rFonts w:asciiTheme="minorHAnsi" w:hAnsiTheme="minorHAnsi" w:cs="Calibri" w:hint="default"/>
        <w:b/>
        <w:bCs/>
        <w:color w:val="BDBEBC"/>
        <w:sz w:val="22"/>
        <w:szCs w:val="22"/>
      </w:rPr>
      <w:tblPr/>
      <w:tcPr>
        <w:tcBorders>
          <w:top w:val="nil"/>
          <w:left w:val="nil"/>
          <w:bottom w:val="nil"/>
          <w:right w:val="nil"/>
          <w:insideH w:val="nil"/>
          <w:insideV w:val="nil"/>
          <w:tl2br w:val="nil"/>
          <w:tr2bl w:val="nil"/>
        </w:tcBorders>
        <w:shd w:val="clear" w:color="auto" w:fill="7C2855" w:themeFill="text2"/>
      </w:tcPr>
    </w:tblStylePr>
    <w:tblStylePr w:type="lastRow">
      <w:rPr>
        <w:rFonts w:asciiTheme="minorHAnsi" w:hAnsiTheme="minorHAnsi" w:cs="Calibri" w:hint="default"/>
        <w:b/>
        <w:bCs/>
        <w:color w:val="BDBEBC"/>
        <w:sz w:val="22"/>
        <w:szCs w:val="22"/>
      </w:rPr>
      <w:tblPr/>
      <w:tcPr>
        <w:shd w:val="clear" w:color="auto" w:fill="DC4405" w:themeFill="accent2"/>
      </w:tcPr>
    </w:tblStylePr>
    <w:tblStylePr w:type="firstCol">
      <w:rPr>
        <w:b/>
        <w:bCs/>
      </w:rPr>
    </w:tblStylePr>
    <w:tblStylePr w:type="lastCol">
      <w:rPr>
        <w:b/>
        <w:bCs/>
      </w:rPr>
    </w:tblStylePr>
    <w:tblStylePr w:type="band2Horz">
      <w:tblPr/>
      <w:tcPr>
        <w:shd w:val="clear" w:color="auto" w:fill="BDBEBC"/>
      </w:tcPr>
    </w:tblStylePr>
  </w:style>
  <w:style w:type="paragraph" w:customStyle="1" w:styleId="pf0">
    <w:name w:val="pf0"/>
    <w:basedOn w:val="Normal"/>
    <w:rsid w:val="00DA5E4B"/>
    <w:pPr>
      <w:spacing w:before="100" w:beforeAutospacing="1" w:after="100" w:afterAutospacing="1" w:line="240" w:lineRule="auto"/>
    </w:pPr>
    <w:rPr>
      <w:rFonts w:ascii="Times New Roman" w:eastAsia="Times New Roman" w:hAnsi="Times New Roman" w:cs="Times New Roman"/>
      <w:sz w:val="24"/>
      <w:lang w:val="nl-BE" w:eastAsia="nl-BE"/>
    </w:rPr>
  </w:style>
  <w:style w:type="paragraph" w:customStyle="1" w:styleId="pf1">
    <w:name w:val="pf1"/>
    <w:basedOn w:val="Normal"/>
    <w:rsid w:val="00DA5E4B"/>
    <w:pPr>
      <w:spacing w:before="100" w:beforeAutospacing="1" w:after="100" w:afterAutospacing="1" w:line="240" w:lineRule="auto"/>
    </w:pPr>
    <w:rPr>
      <w:rFonts w:ascii="Times New Roman" w:eastAsia="Times New Roman" w:hAnsi="Times New Roman" w:cs="Times New Roman"/>
      <w:sz w:val="24"/>
      <w:lang w:val="nl-BE" w:eastAsia="nl-BE"/>
    </w:rPr>
  </w:style>
  <w:style w:type="paragraph" w:customStyle="1" w:styleId="pf3">
    <w:name w:val="pf3"/>
    <w:basedOn w:val="Normal"/>
    <w:rsid w:val="00DA5E4B"/>
    <w:pPr>
      <w:spacing w:before="100" w:beforeAutospacing="1" w:after="100" w:afterAutospacing="1" w:line="240" w:lineRule="auto"/>
    </w:pPr>
    <w:rPr>
      <w:rFonts w:ascii="Times New Roman" w:eastAsia="Times New Roman" w:hAnsi="Times New Roman" w:cs="Times New Roman"/>
      <w:sz w:val="24"/>
      <w:lang w:val="nl-BE" w:eastAsia="nl-BE"/>
    </w:rPr>
  </w:style>
  <w:style w:type="character" w:customStyle="1" w:styleId="cf01">
    <w:name w:val="cf01"/>
    <w:basedOn w:val="DefaultParagraphFont"/>
    <w:rsid w:val="00DA5E4B"/>
    <w:rPr>
      <w:rFonts w:ascii="Segoe UI" w:hAnsi="Segoe UI" w:cs="Segoe UI" w:hint="default"/>
      <w:i/>
      <w:iCs/>
      <w:sz w:val="18"/>
      <w:szCs w:val="18"/>
    </w:rPr>
  </w:style>
  <w:style w:type="character" w:customStyle="1" w:styleId="cf11">
    <w:name w:val="cf11"/>
    <w:basedOn w:val="DefaultParagraphFont"/>
    <w:rsid w:val="00DA5E4B"/>
    <w:rPr>
      <w:rFonts w:ascii="Segoe UI" w:hAnsi="Segoe UI" w:cs="Segoe UI" w:hint="default"/>
      <w:i/>
      <w:iCs/>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4270">
      <w:bodyDiv w:val="1"/>
      <w:marLeft w:val="0"/>
      <w:marRight w:val="0"/>
      <w:marTop w:val="0"/>
      <w:marBottom w:val="0"/>
      <w:divBdr>
        <w:top w:val="none" w:sz="0" w:space="0" w:color="auto"/>
        <w:left w:val="none" w:sz="0" w:space="0" w:color="auto"/>
        <w:bottom w:val="none" w:sz="0" w:space="0" w:color="auto"/>
        <w:right w:val="none" w:sz="0" w:space="0" w:color="auto"/>
      </w:divBdr>
    </w:div>
    <w:div w:id="591470646">
      <w:bodyDiv w:val="1"/>
      <w:marLeft w:val="0"/>
      <w:marRight w:val="0"/>
      <w:marTop w:val="0"/>
      <w:marBottom w:val="0"/>
      <w:divBdr>
        <w:top w:val="none" w:sz="0" w:space="0" w:color="auto"/>
        <w:left w:val="none" w:sz="0" w:space="0" w:color="auto"/>
        <w:bottom w:val="none" w:sz="0" w:space="0" w:color="auto"/>
        <w:right w:val="none" w:sz="0" w:space="0" w:color="auto"/>
      </w:divBdr>
    </w:div>
    <w:div w:id="643697829">
      <w:bodyDiv w:val="1"/>
      <w:marLeft w:val="0"/>
      <w:marRight w:val="0"/>
      <w:marTop w:val="0"/>
      <w:marBottom w:val="0"/>
      <w:divBdr>
        <w:top w:val="none" w:sz="0" w:space="0" w:color="auto"/>
        <w:left w:val="none" w:sz="0" w:space="0" w:color="auto"/>
        <w:bottom w:val="none" w:sz="0" w:space="0" w:color="auto"/>
        <w:right w:val="none" w:sz="0" w:space="0" w:color="auto"/>
      </w:divBdr>
    </w:div>
    <w:div w:id="651327089">
      <w:bodyDiv w:val="1"/>
      <w:marLeft w:val="0"/>
      <w:marRight w:val="0"/>
      <w:marTop w:val="0"/>
      <w:marBottom w:val="0"/>
      <w:divBdr>
        <w:top w:val="none" w:sz="0" w:space="0" w:color="auto"/>
        <w:left w:val="none" w:sz="0" w:space="0" w:color="auto"/>
        <w:bottom w:val="none" w:sz="0" w:space="0" w:color="auto"/>
        <w:right w:val="none" w:sz="0" w:space="0" w:color="auto"/>
      </w:divBdr>
    </w:div>
    <w:div w:id="755322919">
      <w:bodyDiv w:val="1"/>
      <w:marLeft w:val="0"/>
      <w:marRight w:val="0"/>
      <w:marTop w:val="0"/>
      <w:marBottom w:val="0"/>
      <w:divBdr>
        <w:top w:val="none" w:sz="0" w:space="0" w:color="auto"/>
        <w:left w:val="none" w:sz="0" w:space="0" w:color="auto"/>
        <w:bottom w:val="none" w:sz="0" w:space="0" w:color="auto"/>
        <w:right w:val="none" w:sz="0" w:space="0" w:color="auto"/>
      </w:divBdr>
    </w:div>
    <w:div w:id="825126442">
      <w:bodyDiv w:val="1"/>
      <w:marLeft w:val="0"/>
      <w:marRight w:val="0"/>
      <w:marTop w:val="0"/>
      <w:marBottom w:val="0"/>
      <w:divBdr>
        <w:top w:val="none" w:sz="0" w:space="0" w:color="auto"/>
        <w:left w:val="none" w:sz="0" w:space="0" w:color="auto"/>
        <w:bottom w:val="none" w:sz="0" w:space="0" w:color="auto"/>
        <w:right w:val="none" w:sz="0" w:space="0" w:color="auto"/>
      </w:divBdr>
    </w:div>
    <w:div w:id="879632166">
      <w:bodyDiv w:val="1"/>
      <w:marLeft w:val="0"/>
      <w:marRight w:val="0"/>
      <w:marTop w:val="0"/>
      <w:marBottom w:val="0"/>
      <w:divBdr>
        <w:top w:val="none" w:sz="0" w:space="0" w:color="auto"/>
        <w:left w:val="none" w:sz="0" w:space="0" w:color="auto"/>
        <w:bottom w:val="none" w:sz="0" w:space="0" w:color="auto"/>
        <w:right w:val="none" w:sz="0" w:space="0" w:color="auto"/>
      </w:divBdr>
    </w:div>
    <w:div w:id="983316857">
      <w:bodyDiv w:val="1"/>
      <w:marLeft w:val="0"/>
      <w:marRight w:val="0"/>
      <w:marTop w:val="0"/>
      <w:marBottom w:val="0"/>
      <w:divBdr>
        <w:top w:val="none" w:sz="0" w:space="0" w:color="auto"/>
        <w:left w:val="none" w:sz="0" w:space="0" w:color="auto"/>
        <w:bottom w:val="none" w:sz="0" w:space="0" w:color="auto"/>
        <w:right w:val="none" w:sz="0" w:space="0" w:color="auto"/>
      </w:divBdr>
    </w:div>
    <w:div w:id="1184708935">
      <w:bodyDiv w:val="1"/>
      <w:marLeft w:val="0"/>
      <w:marRight w:val="0"/>
      <w:marTop w:val="0"/>
      <w:marBottom w:val="0"/>
      <w:divBdr>
        <w:top w:val="none" w:sz="0" w:space="0" w:color="auto"/>
        <w:left w:val="none" w:sz="0" w:space="0" w:color="auto"/>
        <w:bottom w:val="none" w:sz="0" w:space="0" w:color="auto"/>
        <w:right w:val="none" w:sz="0" w:space="0" w:color="auto"/>
      </w:divBdr>
    </w:div>
    <w:div w:id="1204560269">
      <w:bodyDiv w:val="1"/>
      <w:marLeft w:val="0"/>
      <w:marRight w:val="0"/>
      <w:marTop w:val="0"/>
      <w:marBottom w:val="0"/>
      <w:divBdr>
        <w:top w:val="none" w:sz="0" w:space="0" w:color="auto"/>
        <w:left w:val="none" w:sz="0" w:space="0" w:color="auto"/>
        <w:bottom w:val="none" w:sz="0" w:space="0" w:color="auto"/>
        <w:right w:val="none" w:sz="0" w:space="0" w:color="auto"/>
      </w:divBdr>
    </w:div>
    <w:div w:id="1214466906">
      <w:bodyDiv w:val="1"/>
      <w:marLeft w:val="0"/>
      <w:marRight w:val="0"/>
      <w:marTop w:val="0"/>
      <w:marBottom w:val="0"/>
      <w:divBdr>
        <w:top w:val="none" w:sz="0" w:space="0" w:color="auto"/>
        <w:left w:val="none" w:sz="0" w:space="0" w:color="auto"/>
        <w:bottom w:val="none" w:sz="0" w:space="0" w:color="auto"/>
        <w:right w:val="none" w:sz="0" w:space="0" w:color="auto"/>
      </w:divBdr>
    </w:div>
    <w:div w:id="1443302135">
      <w:bodyDiv w:val="1"/>
      <w:marLeft w:val="0"/>
      <w:marRight w:val="0"/>
      <w:marTop w:val="0"/>
      <w:marBottom w:val="0"/>
      <w:divBdr>
        <w:top w:val="none" w:sz="0" w:space="0" w:color="auto"/>
        <w:left w:val="none" w:sz="0" w:space="0" w:color="auto"/>
        <w:bottom w:val="none" w:sz="0" w:space="0" w:color="auto"/>
        <w:right w:val="none" w:sz="0" w:space="0" w:color="auto"/>
      </w:divBdr>
    </w:div>
    <w:div w:id="1456826175">
      <w:bodyDiv w:val="1"/>
      <w:marLeft w:val="0"/>
      <w:marRight w:val="0"/>
      <w:marTop w:val="0"/>
      <w:marBottom w:val="0"/>
      <w:divBdr>
        <w:top w:val="none" w:sz="0" w:space="0" w:color="auto"/>
        <w:left w:val="none" w:sz="0" w:space="0" w:color="auto"/>
        <w:bottom w:val="none" w:sz="0" w:space="0" w:color="auto"/>
        <w:right w:val="none" w:sz="0" w:space="0" w:color="auto"/>
      </w:divBdr>
      <w:divsChild>
        <w:div w:id="1410927906">
          <w:marLeft w:val="0"/>
          <w:marRight w:val="0"/>
          <w:marTop w:val="0"/>
          <w:marBottom w:val="0"/>
          <w:divBdr>
            <w:top w:val="none" w:sz="0" w:space="0" w:color="auto"/>
            <w:left w:val="none" w:sz="0" w:space="0" w:color="auto"/>
            <w:bottom w:val="none" w:sz="0" w:space="0" w:color="auto"/>
            <w:right w:val="none" w:sz="0" w:space="0" w:color="auto"/>
          </w:divBdr>
          <w:divsChild>
            <w:div w:id="1490706077">
              <w:marLeft w:val="0"/>
              <w:marRight w:val="0"/>
              <w:marTop w:val="0"/>
              <w:marBottom w:val="0"/>
              <w:divBdr>
                <w:top w:val="none" w:sz="0" w:space="0" w:color="auto"/>
                <w:left w:val="none" w:sz="0" w:space="0" w:color="auto"/>
                <w:bottom w:val="none" w:sz="0" w:space="0" w:color="auto"/>
                <w:right w:val="none" w:sz="0" w:space="0" w:color="auto"/>
              </w:divBdr>
              <w:divsChild>
                <w:div w:id="1748114136">
                  <w:marLeft w:val="0"/>
                  <w:marRight w:val="0"/>
                  <w:marTop w:val="0"/>
                  <w:marBottom w:val="0"/>
                  <w:divBdr>
                    <w:top w:val="none" w:sz="0" w:space="0" w:color="auto"/>
                    <w:left w:val="none" w:sz="0" w:space="0" w:color="auto"/>
                    <w:bottom w:val="none" w:sz="0" w:space="0" w:color="auto"/>
                    <w:right w:val="none" w:sz="0" w:space="0" w:color="auto"/>
                  </w:divBdr>
                  <w:divsChild>
                    <w:div w:id="1642731284">
                      <w:marLeft w:val="0"/>
                      <w:marRight w:val="0"/>
                      <w:marTop w:val="0"/>
                      <w:marBottom w:val="0"/>
                      <w:divBdr>
                        <w:top w:val="none" w:sz="0" w:space="0" w:color="auto"/>
                        <w:left w:val="none" w:sz="0" w:space="0" w:color="auto"/>
                        <w:bottom w:val="none" w:sz="0" w:space="0" w:color="auto"/>
                        <w:right w:val="none" w:sz="0" w:space="0" w:color="auto"/>
                      </w:divBdr>
                      <w:divsChild>
                        <w:div w:id="1798794841">
                          <w:marLeft w:val="0"/>
                          <w:marRight w:val="0"/>
                          <w:marTop w:val="0"/>
                          <w:marBottom w:val="0"/>
                          <w:divBdr>
                            <w:top w:val="none" w:sz="0" w:space="0" w:color="auto"/>
                            <w:left w:val="none" w:sz="0" w:space="0" w:color="auto"/>
                            <w:bottom w:val="none" w:sz="0" w:space="0" w:color="auto"/>
                            <w:right w:val="none" w:sz="0" w:space="0" w:color="auto"/>
                          </w:divBdr>
                          <w:divsChild>
                            <w:div w:id="1706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129293">
      <w:bodyDiv w:val="1"/>
      <w:marLeft w:val="0"/>
      <w:marRight w:val="0"/>
      <w:marTop w:val="0"/>
      <w:marBottom w:val="0"/>
      <w:divBdr>
        <w:top w:val="none" w:sz="0" w:space="0" w:color="auto"/>
        <w:left w:val="none" w:sz="0" w:space="0" w:color="auto"/>
        <w:bottom w:val="none" w:sz="0" w:space="0" w:color="auto"/>
        <w:right w:val="none" w:sz="0" w:space="0" w:color="auto"/>
      </w:divBdr>
    </w:div>
    <w:div w:id="1658535101">
      <w:bodyDiv w:val="1"/>
      <w:marLeft w:val="0"/>
      <w:marRight w:val="0"/>
      <w:marTop w:val="0"/>
      <w:marBottom w:val="0"/>
      <w:divBdr>
        <w:top w:val="none" w:sz="0" w:space="0" w:color="auto"/>
        <w:left w:val="none" w:sz="0" w:space="0" w:color="auto"/>
        <w:bottom w:val="none" w:sz="0" w:space="0" w:color="auto"/>
        <w:right w:val="none" w:sz="0" w:space="0" w:color="auto"/>
      </w:divBdr>
    </w:div>
    <w:div w:id="1699895227">
      <w:bodyDiv w:val="1"/>
      <w:marLeft w:val="0"/>
      <w:marRight w:val="0"/>
      <w:marTop w:val="0"/>
      <w:marBottom w:val="0"/>
      <w:divBdr>
        <w:top w:val="none" w:sz="0" w:space="0" w:color="auto"/>
        <w:left w:val="none" w:sz="0" w:space="0" w:color="auto"/>
        <w:bottom w:val="none" w:sz="0" w:space="0" w:color="auto"/>
        <w:right w:val="none" w:sz="0" w:space="0" w:color="auto"/>
      </w:divBdr>
    </w:div>
    <w:div w:id="1707097416">
      <w:bodyDiv w:val="1"/>
      <w:marLeft w:val="0"/>
      <w:marRight w:val="0"/>
      <w:marTop w:val="0"/>
      <w:marBottom w:val="0"/>
      <w:divBdr>
        <w:top w:val="none" w:sz="0" w:space="0" w:color="auto"/>
        <w:left w:val="none" w:sz="0" w:space="0" w:color="auto"/>
        <w:bottom w:val="none" w:sz="0" w:space="0" w:color="auto"/>
        <w:right w:val="none" w:sz="0" w:space="0" w:color="auto"/>
      </w:divBdr>
    </w:div>
    <w:div w:id="1764564807">
      <w:bodyDiv w:val="1"/>
      <w:marLeft w:val="0"/>
      <w:marRight w:val="0"/>
      <w:marTop w:val="0"/>
      <w:marBottom w:val="0"/>
      <w:divBdr>
        <w:top w:val="none" w:sz="0" w:space="0" w:color="auto"/>
        <w:left w:val="none" w:sz="0" w:space="0" w:color="auto"/>
        <w:bottom w:val="none" w:sz="0" w:space="0" w:color="auto"/>
        <w:right w:val="none" w:sz="0" w:space="0" w:color="auto"/>
      </w:divBdr>
    </w:div>
    <w:div w:id="1833525802">
      <w:bodyDiv w:val="1"/>
      <w:marLeft w:val="0"/>
      <w:marRight w:val="0"/>
      <w:marTop w:val="0"/>
      <w:marBottom w:val="0"/>
      <w:divBdr>
        <w:top w:val="none" w:sz="0" w:space="0" w:color="auto"/>
        <w:left w:val="none" w:sz="0" w:space="0" w:color="auto"/>
        <w:bottom w:val="none" w:sz="0" w:space="0" w:color="auto"/>
        <w:right w:val="none" w:sz="0" w:space="0" w:color="auto"/>
      </w:divBdr>
    </w:div>
    <w:div w:id="2011447797">
      <w:bodyDiv w:val="1"/>
      <w:marLeft w:val="0"/>
      <w:marRight w:val="0"/>
      <w:marTop w:val="0"/>
      <w:marBottom w:val="0"/>
      <w:divBdr>
        <w:top w:val="none" w:sz="0" w:space="0" w:color="auto"/>
        <w:left w:val="none" w:sz="0" w:space="0" w:color="auto"/>
        <w:bottom w:val="none" w:sz="0" w:space="0" w:color="auto"/>
        <w:right w:val="none" w:sz="0" w:space="0" w:color="auto"/>
      </w:divBdr>
    </w:div>
    <w:div w:id="2046558640">
      <w:bodyDiv w:val="1"/>
      <w:marLeft w:val="0"/>
      <w:marRight w:val="0"/>
      <w:marTop w:val="0"/>
      <w:marBottom w:val="0"/>
      <w:divBdr>
        <w:top w:val="none" w:sz="0" w:space="0" w:color="auto"/>
        <w:left w:val="none" w:sz="0" w:space="0" w:color="auto"/>
        <w:bottom w:val="none" w:sz="0" w:space="0" w:color="auto"/>
        <w:right w:val="none" w:sz="0" w:space="0" w:color="auto"/>
      </w:divBdr>
    </w:div>
    <w:div w:id="20831385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dworx 2016">
  <a:themeElements>
    <a:clrScheme name="SDWorx">
      <a:dk1>
        <a:srgbClr val="75787B"/>
      </a:dk1>
      <a:lt1>
        <a:srgbClr val="C8C9C7"/>
      </a:lt1>
      <a:dk2>
        <a:srgbClr val="7C2855"/>
      </a:dk2>
      <a:lt2>
        <a:srgbClr val="F6AA00"/>
      </a:lt2>
      <a:accent1>
        <a:srgbClr val="7C2855"/>
      </a:accent1>
      <a:accent2>
        <a:srgbClr val="DC4405"/>
      </a:accent2>
      <a:accent3>
        <a:srgbClr val="E60036"/>
      </a:accent3>
      <a:accent4>
        <a:srgbClr val="F6AA00"/>
      </a:accent4>
      <a:accent5>
        <a:srgbClr val="75787B"/>
      </a:accent5>
      <a:accent6>
        <a:srgbClr val="C8C9C7"/>
      </a:accent6>
      <a:hlink>
        <a:srgbClr val="7C2855"/>
      </a:hlink>
      <a:folHlink>
        <a:srgbClr val="7C28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sdworx_ppt_TMP" id="{C0B00F67-8A01-764C-A2EF-F8A5B59F19AE}" vid="{0E319203-55C6-B742-9DB0-44786E23B2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BAF01E475BF294C93693FC3EE5991C6" ma:contentTypeVersion="14" ma:contentTypeDescription="Create a new document." ma:contentTypeScope="" ma:versionID="32ff907f9b89a51594d82bcb532a5536">
  <xsd:schema xmlns:xsd="http://www.w3.org/2001/XMLSchema" xmlns:xs="http://www.w3.org/2001/XMLSchema" xmlns:p="http://schemas.microsoft.com/office/2006/metadata/properties" xmlns:ns2="3df8bd29-77e5-490b-a339-77cddafb513b" xmlns:ns3="f006716a-9619-4722-ad98-16782f49d4c0" targetNamespace="http://schemas.microsoft.com/office/2006/metadata/properties" ma:root="true" ma:fieldsID="17e217a7acbdf6f3eb4472256cde2357" ns2:_="" ns3:_="">
    <xsd:import namespace="3df8bd29-77e5-490b-a339-77cddafb513b"/>
    <xsd:import namespace="f006716a-9619-4722-ad98-16782f49d4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8bd29-77e5-490b-a339-77cddafb5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628c487-51ca-44ed-a732-997012891b1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06716a-9619-4722-ad98-16782f49d4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4267992-8d9a-4eb1-82c4-ed01321e002b}" ma:internalName="TaxCatchAll" ma:showField="CatchAllData" ma:web="f006716a-9619-4722-ad98-16782f49d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f8bd29-77e5-490b-a339-77cddafb513b">
      <Terms xmlns="http://schemas.microsoft.com/office/infopath/2007/PartnerControls"/>
    </lcf76f155ced4ddcb4097134ff3c332f>
    <TaxCatchAll xmlns="f006716a-9619-4722-ad98-16782f49d4c0" xsi:nil="true"/>
    <SharedWithUsers xmlns="f006716a-9619-4722-ad98-16782f49d4c0">
      <UserInfo>
        <DisplayName/>
        <AccountId xsi:nil="true"/>
        <AccountType/>
      </UserInfo>
    </SharedWithUsers>
  </documentManagement>
</p:properties>
</file>

<file path=customXml/itemProps1.xml><?xml version="1.0" encoding="utf-8"?>
<ds:datastoreItem xmlns:ds="http://schemas.openxmlformats.org/officeDocument/2006/customXml" ds:itemID="{7C1FA396-0028-488B-B98E-8AC7F2A914F2}">
  <ds:schemaRefs>
    <ds:schemaRef ds:uri="http://schemas.microsoft.com/sharepoint/v3/contenttype/forms"/>
  </ds:schemaRefs>
</ds:datastoreItem>
</file>

<file path=customXml/itemProps2.xml><?xml version="1.0" encoding="utf-8"?>
<ds:datastoreItem xmlns:ds="http://schemas.openxmlformats.org/officeDocument/2006/customXml" ds:itemID="{2BD4E751-7861-46C4-B1D0-FDA78C37BF87}">
  <ds:schemaRefs>
    <ds:schemaRef ds:uri="http://schemas.openxmlformats.org/officeDocument/2006/bibliography"/>
  </ds:schemaRefs>
</ds:datastoreItem>
</file>

<file path=customXml/itemProps3.xml><?xml version="1.0" encoding="utf-8"?>
<ds:datastoreItem xmlns:ds="http://schemas.openxmlformats.org/officeDocument/2006/customXml" ds:itemID="{06CD6D89-1057-4656-9616-9FD9AA5F1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8bd29-77e5-490b-a339-77cddafb513b"/>
    <ds:schemaRef ds:uri="f006716a-9619-4722-ad98-16782f49d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6EB842-6F7C-4414-ADB1-F191DE3FA78F}">
  <ds:schemaRefs>
    <ds:schemaRef ds:uri="http://purl.org/dc/terms/"/>
    <ds:schemaRef ds:uri="http://schemas.microsoft.com/office/2006/documentManagement/types"/>
    <ds:schemaRef ds:uri="http://purl.org/dc/dcmitype/"/>
    <ds:schemaRef ds:uri="http://www.w3.org/XML/1998/namespace"/>
    <ds:schemaRef ds:uri="http://schemas.openxmlformats.org/package/2006/metadata/core-properties"/>
    <ds:schemaRef ds:uri="http://purl.org/dc/elements/1.1/"/>
    <ds:schemaRef ds:uri="3df8bd29-77e5-490b-a339-77cddafb513b"/>
    <ds:schemaRef ds:uri="http://schemas.microsoft.com/office/infopath/2007/PartnerControls"/>
    <ds:schemaRef ds:uri="f006716a-9619-4722-ad98-16782f49d4c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4121</Words>
  <Characters>23491</Characters>
  <Application>Microsoft Office Word</Application>
  <DocSecurity>0</DocSecurity>
  <Lines>195</Lines>
  <Paragraphs>55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Manager/>
  <Company>Branding Today</Company>
  <LinksUpToDate>false</LinksUpToDate>
  <CharactersWithSpaces>27557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Deswelgh Tania</dc:creator>
  <cp:keywords/>
  <dc:description/>
  <cp:lastModifiedBy>Kim Cornelis</cp:lastModifiedBy>
  <cp:revision>3</cp:revision>
  <cp:lastPrinted>2023-02-08T04:41:00Z</cp:lastPrinted>
  <dcterms:created xsi:type="dcterms:W3CDTF">2025-04-24T12:33:00Z</dcterms:created>
  <dcterms:modified xsi:type="dcterms:W3CDTF">2025-04-24T12:34:00Z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beta</vt:lpwstr>
  </property>
  <property fmtid="{D5CDD505-2E9C-101B-9397-08002B2CF9AE}" pid="3" name="MediaServiceImageTags">
    <vt:lpwstr/>
  </property>
  <property fmtid="{D5CDD505-2E9C-101B-9397-08002B2CF9AE}" pid="4" name="ContentTypeId">
    <vt:lpwstr>0x0101009BAF01E475BF294C93693FC3EE5991C6</vt:lpwstr>
  </property>
  <property fmtid="{D5CDD505-2E9C-101B-9397-08002B2CF9AE}" pid="5" name="Order">
    <vt:r8>19000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